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〔2023〕32号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吐鲁番经济开发区管理委员会：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（吐鲁番交河物流港管理委员会）（统一社会信用代码：12652101MB0X67061C-，地址：新疆吐鲁番市高昌区西洲路526号206室）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我局于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" w:eastAsia="仿宋_GB2312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你单位非法占地一案立案调查。经调查，你单位于2020年11月，未经自然资源主管部门批准，占用位于新疆吐鲁番市高昌区亚尔乡飞机场南侧、高铁北站北侧国有未利用地修建房屋、硬化水泥地坪。经测绘公司实地测绘并套合二调数据库后认定，你单位占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的土地面积为2606.07平方米（3.91亩），土地权属均为国有未利用地，所占土地不符合土地利用总体规划。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吐鲁番经济开发区管理委员会（吐鲁番交河物流港管理委员会）《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事业单位法人证书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1份、法定代表人林茂《居民身份证》复印件1份、授权委托书1份、被授权委托人马志军《居民身份证》复印件1份、证明违法用地主体为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吐鲁番经济开发区管理委员会（吐鲁番交河物流港管理委员会），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马志军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为被授权委托人。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吐鲁番经济开发区管理委员会（吐鲁番交河物流港管理委员会）非法占地的事实。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历年影像图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土地利用现状图》1份、《土地利用总体规划图》1份、《违法用地勘测定界图》1份，证明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吐鲁番经济开发区管理委员会（吐鲁番交河物流港管理委员会）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非法占有国有未利用地修建房屋、硬化水泥地坪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2606.07平方米（3.91亩）土地的事实。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吐鲁番经济开发区管理委员会（吐鲁番交河物流港管理委员会）非法占地现状。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2024年4月9日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根据《中华人民共和国土地管理法》（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2019年8月26日第三次修正版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）第七十七条、《中华人民共和国土地管理法实施条例》（2014年7月第二次修订版）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第四十二条的规定，我局</w:t>
      </w:r>
      <w:r>
        <w:rPr>
          <w:rFonts w:hint="eastAsia" w:ascii="仿宋_GB2312" w:hAnsi="仿宋" w:eastAsia="仿宋_GB2312"/>
          <w:sz w:val="32"/>
          <w:szCs w:val="32"/>
          <w:u w:val="none"/>
        </w:rPr>
        <w:t>决定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对你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</w:rPr>
        <w:t>处罚如下：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对非法占用的2606.07平方米土地处以每平方米5元的罚款，即2606.07平方米×5元/平方米=13030.35元（壹万叁仟零叁拾元叁角伍分）。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你单位</w:t>
      </w:r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>木热地力·夏克尔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D2735"/>
    <w:rsid w:val="04A93E3D"/>
    <w:rsid w:val="1FCD2735"/>
    <w:rsid w:val="20A44C49"/>
    <w:rsid w:val="5B886D39"/>
    <w:rsid w:val="7A2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2024-08-08T04:01:00Z</dcterms:created>
  <dc:creator>Administrator</dc:creator>
  <cp:lastModifiedBy>Administrator</cp:lastModifiedBy>
  <dcterms:modified xsi:type="dcterms:W3CDTF">2024-08-19T02:59:42Z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