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〔2023〕18号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吐鲁番市高昌区亚尔镇人民政府：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116521010106006322，地址：吐鲁番市高昌区新城西门104号，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法定代表人：迪力木拉提·帕力哈提，性别：男，委托代表人：玉素甫·努尔丁，性别：男）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我局于2023年2月8日对</w:t>
      </w:r>
      <w:r>
        <w:rPr>
          <w:rFonts w:hint="eastAsia" w:ascii="仿宋_GB2312" w:hAnsi="仿宋" w:eastAsia="仿宋_GB2312"/>
          <w:sz w:val="32"/>
          <w:szCs w:val="32"/>
          <w:u w:val="none"/>
        </w:rPr>
        <w:t>你单位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2022年7月，吐鲁番市高昌区亚尔镇人民政府未经自然资源主管部门批准，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占用位于吐鲁番市民族医院沙疗康复中心南侧修建房屋及配套设施。经测绘单位实地测绘并套合二调数据库后认定，你单位占用的土地面积为3634平方米（其中3257平方米土地地类权属为果园，377平方米土地地类权属为建设用地）权属均为集体土地，所占土地符合土地利用总体规划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你单位的上述行为，</w:t>
      </w:r>
      <w:r>
        <w:rPr>
          <w:rFonts w:hint="eastAsia" w:ascii="仿宋_GB2312" w:eastAsia="仿宋_GB2312"/>
          <w:sz w:val="32"/>
          <w:szCs w:val="32"/>
          <w:u w:val="none"/>
        </w:rPr>
        <w:t>违反了《中华人民共和国土地管理法》第二条的规定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吐鲁番市高昌区亚尔镇人民政府《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统一社会信用代码证书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》复印件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1份、法定代表人迪力木拉提·帕力哈提《居民身份证》复印件1份、授权委托书1份、被授权委托人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玉素甫·努尔丁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《居民身份证》复印件1份、证明违法用地主体为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吐鲁番市高昌区亚尔镇人民政府。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吐鲁番市高昌区亚尔镇人民政府非法占地的事实。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1份、《违法用地勘测定界图》1份，证明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吐鲁番市高昌区亚尔镇人民政府占地面积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2张、证明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吐鲁番市高昌区亚尔镇人民政府非法占地现状。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2024年5月20日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" w:eastAsia="仿宋_GB2312"/>
          <w:sz w:val="32"/>
          <w:szCs w:val="32"/>
          <w:u w:val="none"/>
        </w:rPr>
        <w:t>单位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根据《中华人民共和国土地管理法》（2019年8月26日第三次修正版）第七十七条的规定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决定处罚如下</w:t>
      </w:r>
      <w:r>
        <w:rPr>
          <w:rFonts w:hint="eastAsia" w:ascii="仿宋_GB2312" w:hAnsi="仿宋" w:eastAsia="仿宋_GB2312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1.依法没收非法占用的3634平方米土地上违法建筑物、构筑物交至吐鲁番市高昌区亚尔镇亚尔村村民委员会。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你单位</w:t>
      </w:r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>木热地力·夏克尔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0995-8183464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7DAF6979"/>
    <w:rsid w:val="234B3AC6"/>
    <w:rsid w:val="362A01AD"/>
    <w:rsid w:val="3F9057CE"/>
    <w:rsid w:val="4DBD514D"/>
    <w:rsid w:val="61F83897"/>
    <w:rsid w:val="62EB3096"/>
    <w:rsid w:val="7DA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1147</Characters>
  <Lines>0</Lines>
  <Paragraphs>0</Paragraphs>
  <TotalTime>6</TotalTime>
  <ScaleCrop>false</ScaleCrop>
  <LinksUpToDate>false</LinksUpToDate>
  <CharactersWithSpaces>1227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2024-05-27T04:27:00Z</dcterms:created>
  <dc:creator>Administrator</dc:creator>
  <cp:lastModifiedBy>Administrator</cp:lastModifiedBy>
  <dcterms:modified xsi:type="dcterms:W3CDTF">2024-08-19T02:56:23Z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5D956A40DE2E40B8BF4D4DF43876117D_12</vt:lpwstr>
  </property>
</Properties>
</file>