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〔2024〕16号 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吐鲁番市高昌区住房和城乡建设局：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（统一社会信用代码：11652101010600261B，地址：吐鲁番市高昌区绿洲西路794号，法定代表人：马礼明，性别：男，委托代表人：阿力甫江·吐尔逊尼亚孜，性别：男）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我局于2024年4月18日对</w:t>
      </w:r>
      <w:r>
        <w:rPr>
          <w:rFonts w:hint="eastAsia" w:ascii="仿宋_GB2312" w:hAnsi="仿宋" w:eastAsia="仿宋_GB2312"/>
          <w:sz w:val="32"/>
          <w:szCs w:val="32"/>
          <w:u w:val="none"/>
        </w:rPr>
        <w:t>你单位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2022年9月，吐鲁番市高昌区住房和城乡建设局未经自然资源主管部门批准，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占用位于吐鲁番市高昌区坎儿孜路、麦西来甫路、友谊路、莱帕尔东路、南门路、金洲西路、湘中路违法占用国有未利用地修建道路。经测绘单位实地测绘并套合二调数据库后认定，你单位占用的土地面积为235975.8平方米地类权属为国有未利用地、集体土地（其中国有土地共计：4902平方米，930平方米农村道路、20平方米沟渠、386平方米林地、855平方米果园、2711平方米裸土地；集体土地共计：41469平方米，39平方米水浇地、837平方米沟渠、1968平方米设施农用地、646平方米林地、29035平方米果园、6627平方米建设用地、2317裸土地），所占土地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你单位的上述行为，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吐鲁番市高昌区住房和城乡建设局《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统一社会信用代码证书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1份、法定代表人马礼明《居民身份证》复印件1份、授权委托书1份、被授权委托人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阿力甫江·吐尔逊尼亚孜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2024年5月20日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根据《中华人民共和国土地管理法》（2019年8月26日第三次修正版）第七十七条的规定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决定处罚如下</w:t>
      </w:r>
      <w:r>
        <w:rPr>
          <w:rFonts w:hint="eastAsia" w:ascii="仿宋_GB2312" w:hAnsi="仿宋" w:eastAsia="仿宋_GB2312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依法没收非法占用的235975.8平方米土地上违法建筑物、构筑物交至吐鲁番市高昌区财政局。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你单位</w:t>
      </w: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 xml:space="preserve">木热地力·夏克尔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0FC50A5E"/>
    <w:rsid w:val="0FC50A5E"/>
    <w:rsid w:val="2ADE61BC"/>
    <w:rsid w:val="2B620B9B"/>
    <w:rsid w:val="3CD4741F"/>
    <w:rsid w:val="49D4302E"/>
    <w:rsid w:val="500E3BD0"/>
    <w:rsid w:val="5060304C"/>
    <w:rsid w:val="57F03A9A"/>
    <w:rsid w:val="5A6B2D19"/>
    <w:rsid w:val="60910E01"/>
    <w:rsid w:val="63F11F4B"/>
    <w:rsid w:val="7BD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1300</Characters>
  <Lines>0</Lines>
  <Paragraphs>0</Paragraphs>
  <TotalTime>0</TotalTime>
  <ScaleCrop>false</ScaleCrop>
  <LinksUpToDate>false</LinksUpToDate>
  <CharactersWithSpaces>1404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2024-08-08T04:12:00Z</dcterms:created>
  <dc:creator>Administrator</dc:creator>
  <cp:lastModifiedBy>Administrator</cp:lastModifiedBy>
  <dcterms:modified xsi:type="dcterms:W3CDTF">2024-08-19T03:33:04Z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4464E3AF6A2B46F79182DDEBF504B116_12</vt:lpwstr>
  </property>
</Properties>
</file>