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default" w:ascii="黑体" w:hAnsi="黑体" w:eastAsia="黑体"/>
          <w:color w:val="auto"/>
          <w:sz w:val="32"/>
          <w:szCs w:val="32"/>
          <w:highlight w:val="none"/>
          <w:lang w:val="en-US" w:eastAsia="zh-CN"/>
        </w:rPr>
      </w:pPr>
    </w:p>
    <w:p>
      <w:pPr>
        <w:pStyle w:val="2"/>
        <w:rPr>
          <w:rFonts w:hint="default"/>
          <w:lang w:val="en-US" w:eastAsia="zh-CN"/>
        </w:rPr>
      </w:pPr>
    </w:p>
    <w:p>
      <w:pPr>
        <w:pStyle w:val="2"/>
        <w:rPr>
          <w:rFonts w:hint="default"/>
          <w:highlight w:val="none"/>
          <w:lang w:val="en-US" w:eastAsia="zh-CN"/>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lang w:val="en-US" w:eastAsia="zh-CN"/>
        </w:rPr>
      </w:pPr>
    </w:p>
    <w:p>
      <w:pPr>
        <w:keepNext w:val="0"/>
        <w:keepLines w:val="0"/>
        <w:pageBreakBefore w:val="0"/>
        <w:widowControl/>
        <w:wordWrap/>
        <w:overflowPunct/>
        <w:topLinePunct w:val="0"/>
        <w:bidi w:val="0"/>
        <w:spacing w:beforeAutospacing="0" w:afterAutospacing="0" w:line="560" w:lineRule="exact"/>
        <w:jc w:val="center"/>
        <w:outlineLvl w:val="1"/>
        <w:rPr>
          <w:rFonts w:hint="eastAsia" w:eastAsia="方正小标宋_GBK"/>
          <w:highlight w:val="none"/>
          <w:lang w:val="en-US" w:eastAsia="zh-CN"/>
        </w:rPr>
      </w:pPr>
      <w:r>
        <w:rPr>
          <w:rFonts w:hint="eastAsia" w:ascii="方正小标宋简体" w:hAnsi="方正小标宋简体" w:eastAsia="方正小标宋简体" w:cs="方正小标宋简体"/>
          <w:kern w:val="0"/>
          <w:sz w:val="44"/>
          <w:szCs w:val="44"/>
          <w:highlight w:val="none"/>
          <w:lang w:val="en-US" w:eastAsia="zh-CN"/>
        </w:rPr>
        <w:t>2026年高昌区</w:t>
      </w:r>
      <w:r>
        <w:rPr>
          <w:rFonts w:hint="eastAsia" w:ascii="方正小标宋简体" w:hAnsi="方正小标宋简体" w:eastAsia="方正小标宋简体" w:cs="方正小标宋简体"/>
          <w:kern w:val="0"/>
          <w:sz w:val="44"/>
          <w:szCs w:val="44"/>
          <w:highlight w:val="none"/>
        </w:rPr>
        <w:t>政府预算公开</w:t>
      </w: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rPr>
          <w:rFonts w:hint="default" w:ascii="Times New Roman" w:hAnsi="Times New Roman" w:cs="Times New Roman"/>
          <w:highlight w:val="none"/>
        </w:rPr>
      </w:pPr>
    </w:p>
    <w:p>
      <w:pPr>
        <w:widowControl/>
        <w:spacing w:line="440" w:lineRule="exact"/>
        <w:jc w:val="both"/>
        <w:outlineLvl w:val="1"/>
        <w:rPr>
          <w:rFonts w:hint="default" w:ascii="Times New Roman" w:hAnsi="Times New Roman" w:eastAsia="黑体" w:cs="Times New Roman"/>
          <w:kern w:val="0"/>
          <w:sz w:val="36"/>
          <w:szCs w:val="32"/>
          <w:highlight w:val="none"/>
          <w:lang w:val="en-US" w:eastAsia="zh-Hans"/>
        </w:rPr>
        <w:sectPr>
          <w:footerReference r:id="rId3" w:type="default"/>
          <w:pgSz w:w="11906" w:h="16838"/>
          <w:pgMar w:top="2098" w:right="1531" w:bottom="1984" w:left="1531" w:header="851" w:footer="992" w:gutter="0"/>
          <w:pgNumType w:fmt="numberInDash"/>
          <w:cols w:space="720" w:num="1"/>
          <w:docGrid w:linePitch="312" w:charSpace="0"/>
        </w:sectPr>
      </w:pPr>
    </w:p>
    <w:p>
      <w:pPr>
        <w:widowControl/>
        <w:spacing w:line="600" w:lineRule="exact"/>
        <w:jc w:val="center"/>
        <w:outlineLvl w:val="1"/>
        <w:rPr>
          <w:rFonts w:hint="default" w:ascii="Times New Roman" w:hAnsi="Times New Roman" w:eastAsia="黑体" w:cs="Times New Roman"/>
          <w:kern w:val="0"/>
          <w:sz w:val="36"/>
          <w:szCs w:val="32"/>
          <w:highlight w:val="none"/>
        </w:rPr>
      </w:pPr>
      <w:r>
        <w:rPr>
          <w:rFonts w:hint="default" w:ascii="Times New Roman" w:hAnsi="Times New Roman" w:eastAsia="黑体" w:cs="Times New Roman"/>
          <w:kern w:val="0"/>
          <w:sz w:val="36"/>
          <w:szCs w:val="32"/>
          <w:highlight w:val="none"/>
          <w:lang w:val="en-US" w:eastAsia="zh-Hans"/>
        </w:rPr>
        <w:t>目</w:t>
      </w:r>
      <w:r>
        <w:rPr>
          <w:rFonts w:hint="default" w:ascii="Times New Roman" w:hAnsi="Times New Roman" w:eastAsia="黑体" w:cs="Times New Roman"/>
          <w:kern w:val="0"/>
          <w:sz w:val="36"/>
          <w:szCs w:val="32"/>
          <w:highlight w:val="none"/>
          <w:lang w:val="en-US" w:eastAsia="zh-CN"/>
        </w:rPr>
        <w:t xml:space="preserve"> </w:t>
      </w:r>
      <w:r>
        <w:rPr>
          <w:rFonts w:hint="default" w:ascii="Times New Roman" w:hAnsi="Times New Roman" w:eastAsia="黑体" w:cs="Times New Roman"/>
          <w:kern w:val="0"/>
          <w:sz w:val="36"/>
          <w:szCs w:val="32"/>
          <w:highlight w:val="none"/>
        </w:rPr>
        <w:t>录</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第一部分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预算草案报告</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第二部分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四本</w:t>
      </w:r>
      <w:r>
        <w:rPr>
          <w:rFonts w:hint="default" w:ascii="Times New Roman" w:hAnsi="Times New Roman" w:eastAsia="仿宋_GB2312" w:cs="Times New Roman"/>
          <w:b/>
          <w:kern w:val="0"/>
          <w:sz w:val="32"/>
          <w:szCs w:val="32"/>
          <w:highlight w:val="none"/>
          <w:lang w:eastAsia="zh-Hans"/>
        </w:rPr>
        <w:t>”</w:t>
      </w:r>
      <w:r>
        <w:rPr>
          <w:rFonts w:hint="default" w:ascii="Times New Roman" w:hAnsi="Times New Roman" w:eastAsia="仿宋_GB2312" w:cs="Times New Roman"/>
          <w:b/>
          <w:kern w:val="0"/>
          <w:sz w:val="32"/>
          <w:szCs w:val="32"/>
          <w:highlight w:val="none"/>
          <w:lang w:val="en-US" w:eastAsia="zh-Hans"/>
        </w:rPr>
        <w:t>预算公开表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b w:val="0"/>
          <w:bCs/>
          <w:sz w:val="32"/>
          <w:highlight w:val="none"/>
          <w:lang w:val="en-US" w:eastAsia="zh-Hans"/>
        </w:rPr>
        <w:t>一</w:t>
      </w:r>
      <w:r>
        <w:rPr>
          <w:rFonts w:hint="default" w:ascii="Times New Roman" w:hAnsi="Times New Roman" w:eastAsia="仿宋_GB2312" w:cs="Times New Roman"/>
          <w:kern w:val="0"/>
          <w:sz w:val="32"/>
          <w:szCs w:val="32"/>
          <w:highlight w:val="none"/>
          <w:lang w:val="en-US" w:eastAsia="zh-Hans"/>
        </w:rPr>
        <w:t>、一般公共预算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四、社会保险基金预算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第三部分</w:t>
      </w:r>
      <w:r>
        <w:rPr>
          <w:rFonts w:hint="default" w:ascii="Times New Roman" w:hAnsi="Times New Roman" w:eastAsia="仿宋_GB2312" w:cs="Times New Roman"/>
          <w:b/>
          <w:kern w:val="0"/>
          <w:sz w:val="32"/>
          <w:szCs w:val="32"/>
          <w:highlight w:val="none"/>
          <w:lang w:eastAsia="zh-Hans"/>
        </w:rPr>
        <w:t xml:space="preserve"> </w:t>
      </w:r>
      <w:r>
        <w:rPr>
          <w:rFonts w:hint="eastAsia" w:eastAsia="仿宋_GB2312" w:cs="Times New Roman"/>
          <w:b/>
          <w:kern w:val="0"/>
          <w:sz w:val="32"/>
          <w:szCs w:val="32"/>
          <w:highlight w:val="none"/>
          <w:lang w:val="en-US" w:eastAsia="zh-CN"/>
        </w:rPr>
        <w:t>财政拨款</w:t>
      </w:r>
      <w:r>
        <w:rPr>
          <w:rFonts w:hint="default" w:ascii="Times New Roman" w:hAnsi="Times New Roman" w:eastAsia="仿宋_GB2312" w:cs="Times New Roman"/>
          <w:b/>
          <w:kern w:val="0"/>
          <w:sz w:val="32"/>
          <w:szCs w:val="32"/>
          <w:highlight w:val="none"/>
          <w:lang w:val="en-US" w:eastAsia="zh-Hans"/>
        </w:rPr>
        <w:t>“三公”经费预算情况说明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第四部分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转移支付安排情况说明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一、一般公共预算对下转移支付情况说明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二、政府性基金预算对下转移支付情况</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三、国有资本经营预算对下转移支付情况</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第五部分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地方政府债务公开情况说明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eastAsia="zh-Hans"/>
        </w:rPr>
      </w:pPr>
      <w:r>
        <w:rPr>
          <w:rFonts w:hint="default" w:ascii="Times New Roman" w:hAnsi="Times New Roman" w:eastAsia="仿宋_GB2312" w:cs="Times New Roman"/>
          <w:b/>
          <w:kern w:val="0"/>
          <w:sz w:val="32"/>
          <w:szCs w:val="32"/>
          <w:highlight w:val="none"/>
          <w:lang w:val="en-US" w:eastAsia="zh-Hans"/>
        </w:rPr>
        <w:t>第六部分</w:t>
      </w:r>
      <w:r>
        <w:rPr>
          <w:rFonts w:hint="default" w:ascii="Times New Roman" w:hAnsi="Times New Roman" w:eastAsia="仿宋_GB2312" w:cs="Times New Roman"/>
          <w:b/>
          <w:kern w:val="0"/>
          <w:sz w:val="32"/>
          <w:szCs w:val="32"/>
          <w:highlight w:val="none"/>
          <w:lang w:eastAsia="zh-Hans"/>
        </w:rPr>
        <w:t xml:space="preserve"> 财政衔接推进乡村振兴补助资金公开情况说明</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eastAsia="zh-Hans"/>
        </w:rPr>
      </w:pPr>
      <w:r>
        <w:rPr>
          <w:rFonts w:hint="default" w:ascii="Times New Roman" w:hAnsi="Times New Roman" w:eastAsia="仿宋_GB2312" w:cs="Times New Roman"/>
          <w:b/>
          <w:kern w:val="0"/>
          <w:sz w:val="32"/>
          <w:szCs w:val="32"/>
          <w:highlight w:val="none"/>
          <w:lang w:val="en-US" w:eastAsia="zh-Hans"/>
        </w:rPr>
        <w:t>第七部分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本级汇总的预算绩效情况说明</w:t>
      </w:r>
      <w:r>
        <w:rPr>
          <w:rFonts w:hint="default" w:ascii="Times New Roman" w:hAnsi="Times New Roman" w:eastAsia="仿宋_GB2312" w:cs="Times New Roman"/>
          <w:b/>
          <w:kern w:val="0"/>
          <w:sz w:val="32"/>
          <w:szCs w:val="32"/>
          <w:highlight w:val="none"/>
          <w:lang w:eastAsia="zh-Hans"/>
        </w:rPr>
        <w:t xml:space="preserve"> </w:t>
      </w:r>
    </w:p>
    <w:p>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第八部分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其他情况说明</w:t>
      </w:r>
    </w:p>
    <w:p>
      <w:pPr>
        <w:keepNext w:val="0"/>
        <w:keepLines w:val="0"/>
        <w:pageBreakBefore w:val="0"/>
        <w:kinsoku/>
        <w:wordWrap/>
        <w:overflowPunct/>
        <w:topLinePunct w:val="0"/>
        <w:autoSpaceDE w:val="0"/>
        <w:autoSpaceDN w:val="0"/>
        <w:bidi w:val="0"/>
        <w:adjustRightInd/>
        <w:snapToGrid/>
        <w:spacing w:before="0" w:after="0" w:line="266" w:lineRule="auto"/>
        <w:ind w:right="0" w:rightChars="0" w:firstLine="640" w:firstLineChars="200"/>
        <w:jc w:val="center"/>
        <w:textAlignment w:val="auto"/>
        <w:rPr>
          <w:rFonts w:hint="default" w:ascii="Times New Roman" w:hAnsi="Times New Roman" w:eastAsia="方正小标宋_GBK" w:cs="Times New Roman"/>
          <w:b/>
          <w:sz w:val="32"/>
          <w:highlight w:val="none"/>
        </w:rPr>
      </w:pPr>
    </w:p>
    <w:p>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pPr>
        <w:widowControl/>
        <w:jc w:val="center"/>
        <w:outlineLvl w:val="1"/>
        <w:rPr>
          <w:rFonts w:hint="default" w:ascii="Times New Roman" w:hAnsi="Times New Roman" w:eastAsia="黑体" w:cs="Times New Roman"/>
          <w:kern w:val="0"/>
          <w:sz w:val="32"/>
          <w:szCs w:val="32"/>
          <w:highlight w:val="none"/>
        </w:rPr>
        <w:sectPr>
          <w:footerReference r:id="rId4" w:type="default"/>
          <w:pgSz w:w="11906" w:h="16838"/>
          <w:pgMar w:top="2098" w:right="1531" w:bottom="1984" w:left="1531" w:header="851" w:footer="992" w:gutter="0"/>
          <w:pgNumType w:fmt="numberInDash" w:start="2"/>
          <w:cols w:space="720" w:num="1"/>
          <w:docGrid w:linePitch="312" w:charSpace="0"/>
        </w:sectPr>
      </w:pPr>
    </w:p>
    <w:p>
      <w:pPr>
        <w:keepNext w:val="0"/>
        <w:keepLines w:val="0"/>
        <w:pageBreakBefore w:val="0"/>
        <w:widowControl/>
        <w:kinsoku/>
        <w:wordWrap/>
        <w:overflowPunct/>
        <w:topLinePunct w:val="0"/>
        <w:autoSpaceDE/>
        <w:autoSpaceDN/>
        <w:bidi w:val="0"/>
        <w:adjustRightInd/>
        <w:spacing w:line="560" w:lineRule="exact"/>
        <w:jc w:val="center"/>
        <w:textAlignment w:val="auto"/>
        <w:outlineLvl w:val="1"/>
        <w:rPr>
          <w:rFonts w:hint="default" w:ascii="黑体" w:hAnsi="黑体" w:eastAsia="黑体"/>
          <w:color w:val="auto"/>
          <w:kern w:val="0"/>
          <w:sz w:val="32"/>
          <w:szCs w:val="32"/>
          <w:highlight w:val="none"/>
          <w:lang w:val="en-US" w:eastAsia="zh-Hans"/>
        </w:rPr>
      </w:pPr>
      <w:r>
        <w:rPr>
          <w:rFonts w:hint="default" w:ascii="黑体" w:hAnsi="黑体" w:eastAsia="黑体"/>
          <w:color w:val="auto"/>
          <w:kern w:val="0"/>
          <w:sz w:val="32"/>
          <w:szCs w:val="32"/>
          <w:highlight w:val="none"/>
          <w:lang w:val="en-US" w:eastAsia="zh-Hans"/>
        </w:rPr>
        <w:t>第一部分</w:t>
      </w:r>
      <w:r>
        <w:rPr>
          <w:rFonts w:hint="eastAsia" w:ascii="黑体" w:hAnsi="黑体" w:eastAsia="黑体"/>
          <w:color w:val="auto"/>
          <w:kern w:val="0"/>
          <w:sz w:val="32"/>
          <w:szCs w:val="32"/>
          <w:highlight w:val="none"/>
          <w:lang w:val="en-US" w:eastAsia="zh-CN"/>
        </w:rPr>
        <w:t xml:space="preserve"> </w:t>
      </w:r>
      <w:r>
        <w:rPr>
          <w:rFonts w:hint="default" w:ascii="黑体" w:hAnsi="黑体" w:eastAsia="黑体"/>
          <w:color w:val="auto"/>
          <w:kern w:val="0"/>
          <w:sz w:val="32"/>
          <w:szCs w:val="32"/>
          <w:highlight w:val="none"/>
          <w:lang w:val="en-US" w:eastAsia="zh-Hans"/>
        </w:rPr>
        <w:t>预算草案报告</w:t>
      </w:r>
    </w:p>
    <w:p>
      <w:pPr>
        <w:pStyle w:val="2"/>
        <w:keepNext w:val="0"/>
        <w:keepLines w:val="0"/>
        <w:pageBreakBefore w:val="0"/>
        <w:kinsoku/>
        <w:wordWrap/>
        <w:overflowPunct/>
        <w:topLinePunct w:val="0"/>
        <w:autoSpaceDE/>
        <w:autoSpaceDN/>
        <w:bidi w:val="0"/>
        <w:adjustRightInd/>
        <w:spacing w:line="560" w:lineRule="exact"/>
        <w:textAlignment w:val="auto"/>
        <w:rPr>
          <w:rFonts w:hint="default"/>
          <w:highlight w:val="none"/>
          <w:lang w:val="en-US" w:eastAsia="zh-Hans"/>
        </w:rPr>
      </w:pPr>
    </w:p>
    <w:p>
      <w:pPr>
        <w:pStyle w:val="2"/>
        <w:keepNext w:val="0"/>
        <w:keepLines w:val="0"/>
        <w:pageBreakBefore w:val="0"/>
        <w:kinsoku/>
        <w:wordWrap/>
        <w:overflowPunct/>
        <w:topLinePunct w:val="0"/>
        <w:autoSpaceDE/>
        <w:autoSpaceDN/>
        <w:bidi w:val="0"/>
        <w:adjustRightInd/>
        <w:spacing w:line="560" w:lineRule="exact"/>
        <w:textAlignment w:val="auto"/>
        <w:rPr>
          <w:rFonts w:hint="default"/>
          <w:highlight w:val="none"/>
          <w:lang w:val="en-US" w:eastAsia="zh-Hans"/>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t>关于高昌区2025年预算执行情况和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44"/>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t>2026年预算草案的报告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2026年1月26日在吐鲁番市高昌区第二届人民代表大会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第七次会议上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color w:val="auto"/>
          <w:sz w:val="32"/>
          <w:szCs w:val="32"/>
          <w:highlight w:val="none"/>
        </w:rPr>
      </w:pPr>
    </w:p>
    <w:p>
      <w:pPr>
        <w:spacing w:line="560" w:lineRule="exact"/>
        <w:jc w:val="center"/>
        <w:rPr>
          <w:rFonts w:hint="default" w:ascii="Times New Roman" w:hAnsi="Times New Roman" w:eastAsia="仿宋_GB2312" w:cs="Times New Roman"/>
          <w:sz w:val="32"/>
          <w:szCs w:val="32"/>
          <w:highlight w:val="none"/>
          <w:lang w:eastAsia="zh-Hans"/>
        </w:rPr>
      </w:pPr>
      <w:r>
        <w:rPr>
          <w:rFonts w:hint="eastAsia" w:ascii="楷体_GB2312" w:hAnsi="楷体_GB2312" w:eastAsia="楷体_GB2312" w:cs="楷体_GB2312"/>
          <w:b w:val="0"/>
          <w:bCs w:val="0"/>
          <w:sz w:val="32"/>
          <w:szCs w:val="32"/>
          <w:highlight w:val="none"/>
          <w:lang w:val="en-US" w:eastAsia="zh-CN"/>
        </w:rPr>
        <w:t>吐鲁番市高昌区财政局</w:t>
      </w:r>
    </w:p>
    <w:p>
      <w:pPr>
        <w:spacing w:line="560" w:lineRule="exact"/>
        <w:ind w:firstLine="640" w:firstLineChars="200"/>
        <w:rPr>
          <w:rFonts w:hint="default" w:ascii="Times New Roman" w:hAnsi="Times New Roman" w:eastAsia="仿宋_GB2312" w:cs="Times New Roman"/>
          <w:sz w:val="32"/>
          <w:szCs w:val="32"/>
          <w:highlight w:val="none"/>
          <w:lang w:eastAsia="zh-Hans"/>
        </w:rPr>
      </w:pPr>
    </w:p>
    <w:p>
      <w:pPr>
        <w:spacing w:line="560" w:lineRule="exact"/>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各位代表：</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我受高昌区人民政府委托，向大会报告高昌区2025年预算执行情况和2026年预算草案，请予以审议，并请政协委员及列席人员提出意见。</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eastAsia" w:ascii="黑体" w:hAnsi="黑体" w:eastAsia="黑体" w:cs="黑体"/>
          <w:sz w:val="32"/>
          <w:szCs w:val="32"/>
          <w:highlight w:val="none"/>
          <w:lang w:eastAsia="zh-Hans"/>
        </w:rPr>
        <w:t>一、2025年预算执行情况</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是“十四五”规划的收官之年，也是“十五五”规划的谋篇布局之年，在区委、区政府的领导下，在区人大及其常委会和社会各界的监督支持下，全区上下坚持以习近平新时代中国特色社会主义思想为指导，全面贯彻党的二十大和二十届三中、四中全会精神，深入学习贯彻中央经济工作会议精神，认真落实区人大二届六次会议确定的各项工作任务，坚持稳中求进工作总基调，加强财政资源统筹，深化财税体制改革，强化重点领域支持力度，有效防范化解重大风险，全年预算执行情况总体较好。</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eastAsia" w:ascii="楷体_GB2312" w:hAnsi="楷体_GB2312" w:eastAsia="楷体_GB2312" w:cs="楷体_GB2312"/>
          <w:b/>
          <w:bCs/>
          <w:sz w:val="32"/>
          <w:szCs w:val="32"/>
          <w:highlight w:val="none"/>
          <w:lang w:eastAsia="zh-Hans"/>
        </w:rPr>
        <w:t>（一）2025年预算执行情况</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1.一般公共预算收支执行情况</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收入情况：</w:t>
      </w:r>
      <w:r>
        <w:rPr>
          <w:rFonts w:hint="default" w:ascii="Times New Roman" w:hAnsi="Times New Roman" w:eastAsia="仿宋_GB2312" w:cs="Times New Roman"/>
          <w:sz w:val="32"/>
          <w:szCs w:val="32"/>
          <w:highlight w:val="none"/>
          <w:lang w:eastAsia="zh-Hans"/>
        </w:rPr>
        <w:t>财政体制改革前一般公共预算收入完成16.16亿元，完成年初预算的95.30%，同比增收0.75亿元，增长4.83%。其中：税收收入完成10.28亿元，完成年初预算的100.99%，同比增收2.08亿元，增长25.36%；非税收入完成5.88亿元，完成年初预算的86.77%，同比减收1.33亿元，下降18.48%。</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财政体制改革后一般公共预算收入完成12.70亿元，其中：税收收入完成7.28亿元，非税收入完成5.42亿元。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支出情况：</w:t>
      </w:r>
      <w:r>
        <w:rPr>
          <w:rFonts w:hint="default" w:ascii="Times New Roman" w:hAnsi="Times New Roman" w:eastAsia="仿宋_GB2312" w:cs="Times New Roman"/>
          <w:sz w:val="32"/>
          <w:szCs w:val="32"/>
          <w:highlight w:val="none"/>
          <w:lang w:eastAsia="zh-Hans"/>
        </w:rPr>
        <w:t>一般公共预算支出完成42.76亿元，完成年初预算的97.04%，同比增支7.74亿元，增长22.10%。</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收支平衡情况（改革后）：</w:t>
      </w:r>
      <w:r>
        <w:rPr>
          <w:rFonts w:hint="default" w:ascii="Times New Roman" w:hAnsi="Times New Roman" w:eastAsia="仿宋_GB2312" w:cs="Times New Roman"/>
          <w:sz w:val="32"/>
          <w:szCs w:val="32"/>
          <w:highlight w:val="none"/>
          <w:lang w:eastAsia="zh-Hans"/>
        </w:rPr>
        <w:t>收入总计60.07亿元，其中：一般公共预算收入完成12.70亿元，上级补助收入33.65亿元，债务转贷收入5.75亿元，调入资金0.12亿元，上年结转结余7.85亿元。支出总计60.07亿元，其中</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一般公共预算支出完成42.76亿元，上解支出2.73亿元，一般债务还本支出2.65亿元，安排预算稳定调节基金573万元，年终结转结余11.87亿元，做到收支平衡。</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2.政府性基金预算收支执行情况</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收入情况：</w:t>
      </w:r>
      <w:r>
        <w:rPr>
          <w:rFonts w:hint="default" w:ascii="Times New Roman" w:hAnsi="Times New Roman" w:eastAsia="仿宋_GB2312" w:cs="Times New Roman"/>
          <w:sz w:val="32"/>
          <w:szCs w:val="32"/>
          <w:highlight w:val="none"/>
          <w:lang w:eastAsia="zh-Hans"/>
        </w:rPr>
        <w:t>政府性基金预算收入完成4.28亿元，完成年初预算的50.70%，同比减收0.29亿元，下降6.42%。</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支出情况：</w:t>
      </w:r>
      <w:r>
        <w:rPr>
          <w:rFonts w:hint="default" w:ascii="Times New Roman" w:hAnsi="Times New Roman" w:eastAsia="仿宋_GB2312" w:cs="Times New Roman"/>
          <w:sz w:val="32"/>
          <w:szCs w:val="32"/>
          <w:highlight w:val="none"/>
          <w:lang w:eastAsia="zh-Hans"/>
        </w:rPr>
        <w:t>政府性基金预算支出完成14.78亿元，完成年初预算的199.74%，同比增支4.99亿元，增长50.97%。</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w:t>
      </w:r>
      <w:r>
        <w:rPr>
          <w:rFonts w:hint="default" w:ascii="Times New Roman" w:hAnsi="Times New Roman" w:eastAsia="仿宋_GB2312" w:cs="Times New Roman"/>
          <w:sz w:val="32"/>
          <w:szCs w:val="32"/>
          <w:highlight w:val="none"/>
          <w:lang w:eastAsia="zh-Hans"/>
        </w:rPr>
        <w:t>收入总计36.75亿元，其中</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政府性基金预算收入完成4.28亿元，上级补助收入1.86亿元，地方政府专项债券转贷收入27.57亿元，上年结转结余3.04亿元。支出总计36.75亿元，其中：政府性基金预算支出完成14.78亿元，债务还本支出0.21亿元，年终结转结余21.76亿元，做到收支平衡。</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3.国有资本经营预算收支执行情况</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收入情况：</w:t>
      </w:r>
      <w:r>
        <w:rPr>
          <w:rFonts w:hint="default" w:ascii="Times New Roman" w:hAnsi="Times New Roman" w:eastAsia="仿宋_GB2312" w:cs="Times New Roman"/>
          <w:sz w:val="32"/>
          <w:szCs w:val="32"/>
          <w:highlight w:val="none"/>
          <w:lang w:eastAsia="zh-Hans"/>
        </w:rPr>
        <w:t>国有资本经营预算本级收入141万元。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支出情况：</w:t>
      </w:r>
      <w:r>
        <w:rPr>
          <w:rFonts w:hint="default" w:ascii="Times New Roman" w:hAnsi="Times New Roman" w:eastAsia="仿宋_GB2312" w:cs="Times New Roman"/>
          <w:sz w:val="32"/>
          <w:szCs w:val="32"/>
          <w:highlight w:val="none"/>
          <w:lang w:eastAsia="zh-Hans"/>
        </w:rPr>
        <w:t>国有资本经营预算支出69万元。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w:t>
      </w:r>
      <w:r>
        <w:rPr>
          <w:rFonts w:hint="default" w:ascii="Times New Roman" w:hAnsi="Times New Roman" w:eastAsia="仿宋_GB2312" w:cs="Times New Roman"/>
          <w:sz w:val="32"/>
          <w:szCs w:val="32"/>
          <w:highlight w:val="none"/>
          <w:lang w:eastAsia="zh-Hans"/>
        </w:rPr>
        <w:t>收入总计0.13亿元，其中：国有资本经营预算收入完成141万元，上年结转结余0.11亿元，上级补助收入19万元。支出总计0.13亿元，其中：国有资本经营预算支出完成69万元，调出0.12亿元，年终结转结余11万元，做到收支平衡。</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4.社会保险基金预算收支执行情况</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收入情况：</w:t>
      </w:r>
      <w:r>
        <w:rPr>
          <w:rFonts w:hint="default" w:ascii="Times New Roman" w:hAnsi="Times New Roman" w:eastAsia="仿宋_GB2312" w:cs="Times New Roman"/>
          <w:sz w:val="32"/>
          <w:szCs w:val="32"/>
          <w:highlight w:val="none"/>
          <w:lang w:eastAsia="zh-Hans"/>
        </w:rPr>
        <w:t>社会保险基金预算收入完成4.87亿元，同比增收0.88亿元，增长22.08%。</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支出情况：</w:t>
      </w:r>
      <w:r>
        <w:rPr>
          <w:rFonts w:hint="default" w:ascii="Times New Roman" w:hAnsi="Times New Roman" w:eastAsia="仿宋_GB2312" w:cs="Times New Roman"/>
          <w:sz w:val="32"/>
          <w:szCs w:val="32"/>
          <w:highlight w:val="none"/>
          <w:lang w:eastAsia="zh-Hans"/>
        </w:rPr>
        <w:t>社会保险基金预算支出完成4.39亿元，同比增支0.46亿元，增长11.73%。</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w:t>
      </w:r>
      <w:r>
        <w:rPr>
          <w:rFonts w:hint="default" w:ascii="Times New Roman" w:hAnsi="Times New Roman" w:eastAsia="仿宋_GB2312" w:cs="Times New Roman"/>
          <w:sz w:val="32"/>
          <w:szCs w:val="32"/>
          <w:highlight w:val="none"/>
          <w:lang w:eastAsia="zh-Hans"/>
        </w:rPr>
        <w:t>收入总计4.87亿元，其中：社会保险基金预算收入完成2.72亿元，财政补贴收入1.05亿元，利息收入154万元，上级补助收入1.04亿元，转移收入360万元，其他收入55万元。支出总计4.39亿元，其中：社会保险基金预算支出完成4.36亿元，转移支出318万元，其他支出8万元。当期结余0.48亿元，上年结转结余2.05亿元，期末滚存结余2.53亿元，做到收支平衡。</w:t>
      </w:r>
    </w:p>
    <w:p>
      <w:pPr>
        <w:spacing w:line="560" w:lineRule="exact"/>
        <w:ind w:firstLine="643" w:firstLineChars="200"/>
        <w:rPr>
          <w:rFonts w:hint="default" w:ascii="楷体_GB2312" w:hAnsi="楷体_GB2312" w:eastAsia="楷体_GB2312" w:cs="楷体_GB2312"/>
          <w:b/>
          <w:bCs/>
          <w:sz w:val="32"/>
          <w:szCs w:val="32"/>
          <w:highlight w:val="none"/>
          <w:lang w:eastAsia="zh-Hans"/>
        </w:rPr>
      </w:pPr>
      <w:r>
        <w:rPr>
          <w:rFonts w:hint="default" w:ascii="楷体_GB2312" w:hAnsi="楷体_GB2312" w:eastAsia="楷体_GB2312" w:cs="楷体_GB2312"/>
          <w:b/>
          <w:bCs/>
          <w:sz w:val="32"/>
          <w:szCs w:val="32"/>
          <w:highlight w:val="none"/>
          <w:lang w:eastAsia="zh-Hans"/>
        </w:rPr>
        <w:t>（二）2025年政府债务限额及发行情况</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2025年，高昌区财政不断强化地方债务管理，严格履行法定程序，在区人大及其常委会批准的限额内发行地方政府债券，及时足额偿还到期债务本息，规范债券资金使用，确保资金发挥效益。</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1.2025年政府债务限额变动情况</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2025年初，高昌区政府债务限额102.27亿元，其中：一般债务限额28.73亿元，专项债务限额73.54亿元。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2025年上级政府下达高昌区新增债务限额32.77亿元，其中</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一般债务限额5.2亿元，专项债务限额27.57亿元。2025年上级政府收回高昌区政府债务限额0.62亿元，其中：一般债务限额0.62亿元，专项债务限额0亿元。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2025年末，高昌区政府债务限额134.42亿元，其中：一般债务限额33.31亿元，专项债务限额101.11亿元。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2.2025年地方债务余额变动情况</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2025年初高昌区政府债务余额合计100.77亿元，其中：一般债务27.54亿元，专项债务73.23亿元。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通过申报发行地方政府债券，债务增加33.32亿元，其中：一般债务增加5.75亿元（新增一般债券资金3.80亿元，再融资一般债券资金1.95亿元），专项债务增加27.57亿元（新增专项债券用于项目建设资金19.4亿元，用于收回存量土地资金2亿元，用于化解拖欠款6.17亿元）。2025年政府债务减少1.53亿元（一般债减少1.32亿元，专项债减少0.21亿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2025年末，高昌区政府债务余额132.56亿元，其中</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一般债务31.97亿元，专项债务100.59亿元。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3.债券资金到位使用情况</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我区争取到位新增地方政府债券资金33.32亿元，其中新增一般债券到位3.80亿元，资金安排用于：义务教育0.3亿元，交通运输0.7亿元，农业及水利1.5亿元，灾害防治0.1亿元，自然资源0.5亿元，市政基础设施0.5亿元，国防安全0.2亿元。再融资一般债券到位1.95亿元。新增专项债券到位27.57亿元，安排用于：产业园区基础设施12.6亿元，供热工程1.8亿元，城市生活垃圾处理1.5亿元，供水工程1.9亿元，燃气管网0.5亿元，水库项目0.6亿元，</w:t>
      </w:r>
      <w:r>
        <w:rPr>
          <w:rFonts w:hint="eastAsia" w:eastAsia="仿宋_GB2312" w:cs="Times New Roman"/>
          <w:sz w:val="32"/>
          <w:szCs w:val="32"/>
          <w:highlight w:val="none"/>
          <w:lang w:eastAsia="zh-CN"/>
        </w:rPr>
        <w:t>老旧小区改造</w:t>
      </w:r>
      <w:r>
        <w:rPr>
          <w:rFonts w:hint="default" w:ascii="Times New Roman" w:hAnsi="Times New Roman" w:eastAsia="仿宋_GB2312" w:cs="Times New Roman"/>
          <w:sz w:val="32"/>
          <w:szCs w:val="32"/>
          <w:highlight w:val="none"/>
          <w:lang w:eastAsia="zh-Hans"/>
        </w:rPr>
        <w:t>0.3亿元，农业示范项目0.2亿元，土地储备2亿元，化解政府拖欠款6.17亿元。</w:t>
      </w:r>
    </w:p>
    <w:p>
      <w:pPr>
        <w:spacing w:line="560" w:lineRule="exact"/>
        <w:ind w:firstLine="643" w:firstLineChars="200"/>
        <w:rPr>
          <w:rFonts w:hint="default" w:ascii="楷体_GB2312" w:hAnsi="楷体_GB2312" w:eastAsia="楷体_GB2312" w:cs="楷体_GB2312"/>
          <w:b/>
          <w:bCs/>
          <w:sz w:val="32"/>
          <w:szCs w:val="32"/>
          <w:highlight w:val="none"/>
          <w:lang w:eastAsia="zh-Hans"/>
        </w:rPr>
      </w:pPr>
      <w:r>
        <w:rPr>
          <w:rFonts w:hint="default" w:ascii="楷体_GB2312" w:hAnsi="楷体_GB2312" w:eastAsia="楷体_GB2312" w:cs="楷体_GB2312"/>
          <w:b/>
          <w:bCs/>
          <w:sz w:val="32"/>
          <w:szCs w:val="32"/>
          <w:highlight w:val="none"/>
          <w:lang w:eastAsia="zh-Hans"/>
        </w:rPr>
        <w:t>（三）重点工作完成情况</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2025年，高昌区严格遵循《中华人民共和国预算法》《中华人民共和国预算法实施条例》，全面落实区人大二届六次会议精神，加力提效实施积极的财政政策，聚焦稳经济、促发展、保运转、惠民生各项工作，加强资金统筹保障，调整优化支出结构，持续深化管理改革，财政运行总体平稳有序，全区经济社会持续健康发展。</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1.聚焦财源建设，夯实经济发展根基。</w:t>
      </w:r>
      <w:r>
        <w:rPr>
          <w:rFonts w:hint="default" w:ascii="Times New Roman" w:hAnsi="Times New Roman" w:eastAsia="仿宋_GB2312" w:cs="Times New Roman"/>
          <w:sz w:val="32"/>
          <w:szCs w:val="32"/>
          <w:highlight w:val="none"/>
          <w:lang w:eastAsia="zh-Hans"/>
        </w:rPr>
        <w:t>紧扣经济高质量发展主线，综合施策推动财金支撑与发展质效同步提升。一是打好</w:t>
      </w:r>
      <w:r>
        <w:rPr>
          <w:rFonts w:hint="eastAsia" w:eastAsia="仿宋_GB2312" w:cs="Times New Roman"/>
          <w:sz w:val="32"/>
          <w:szCs w:val="32"/>
          <w:highlight w:val="none"/>
          <w:lang w:eastAsia="zh-CN"/>
        </w:rPr>
        <w:t>更加积极的财政政策</w:t>
      </w:r>
      <w:r>
        <w:rPr>
          <w:rFonts w:hint="default" w:ascii="Times New Roman" w:hAnsi="Times New Roman" w:eastAsia="仿宋_GB2312" w:cs="Times New Roman"/>
          <w:sz w:val="32"/>
          <w:szCs w:val="32"/>
          <w:highlight w:val="none"/>
          <w:lang w:eastAsia="zh-Hans"/>
        </w:rPr>
        <w:t>“组合拳”。投入财政资金1.54亿元，支持消费品以旧换新、消费品促销补贴等政策，大力提振消费，进一步释放“两新”政策效能，创新多元化消费场景，提升消费能力、意愿和层级；支持“两重”项目建设，以政府投资带动更多社会投资。申请用于项目建设的专项债券资金21.4亿元，积极扩大有效投资，持续发挥财政资金引领性作用，高质量储备地方政府专项债券项目，提高专项债使用效益。二是进一步优化营商环境。全面落实增值税留抵退税等税收优惠政策，深入开展营商环境提升行动，不断健全常态化服务企业机制，有效激发市场主体活力，长远涵养财源、扩大税基。同时，持续提升采购评审效能，推进政府采购不见面开标、非招标采购方式电子化。全年政采云审批通过1123批次政府采购计划，在自治区政府采购网发布信息公告8654次，以高效采购服务助力营商环境提质。三是做好争资争项“蓄水池”建设。围绕上级重大战略布局和规划发展方向，构建全区“一盘棋”工作格局，系统性研究上级政策导向与支持重点，精准筛选储备项目，抢抓中央预算内投资、债券资金、增发国债等资金机遇，全力争取国家、自治区级资金及湖南援疆政策扶持。全年共争取上级转移支付资金35.68亿元（一般公共预算转移支付资金33.65亿元，政府性基金预算转移支付资金2.03亿元，国有资本经营预算转移支付资金19万元）；债券资金33.32亿元，湖南援疆资金1.12亿元，财政资金保障水平进一步提升。</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2.聚力增收挖潜，激活财政内生动能。</w:t>
      </w:r>
      <w:r>
        <w:rPr>
          <w:rFonts w:hint="default" w:ascii="Times New Roman" w:hAnsi="Times New Roman" w:eastAsia="仿宋_GB2312" w:cs="Times New Roman"/>
          <w:sz w:val="32"/>
          <w:szCs w:val="32"/>
          <w:highlight w:val="none"/>
          <w:lang w:eastAsia="zh-Hans"/>
        </w:rPr>
        <w:t>多措并举深挖财政增收潜力，统筹推进激发经济发展活力。一是建立健全收入管理工作联动机制。强化税务、财政、自然资源、国资等部门联动，推动跨部门数据共享与业务协同，实现收入征管信息实时交互、精准对接。通过定期召开部门联席会议，分析收入形势、研判税源变化、解决征管堵点，打破部门信息壁垒，形成“齐抓共管、协同推进”的组织收入工作格局，确保财政收入平稳有序运行。二是全力深挖增收潜力。加强重点领域、重点行业、重点企业税源监控，加大欠税清缴力度，力争颗粒归仓。依法依规加强非税收入征管，加大国有闲置资产盘活力度，通过出租、处置等多种方式提升国有资产利用效率，努力发掘非税收入增收空间，确保非税收入应缴尽缴，全面拓宽财政收入来源，全年一般公共预算收入（体制改革前）实现16.16亿元，同比增长4.83%。三是优化国有土地出让管理。结合区域发展规划、产业布局及城市更新、产业园区建设等重点工作，将土地出让与优质产业项目引进有机结合，精准谋划土地挂牌出让，推动土地“存量”转化为经济“增量”，全年实现土地出让收入4.8亿元，为高昌区经济增长注入强劲动力。</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3.坚持有保有压，提升财政支出效能。</w:t>
      </w:r>
      <w:r>
        <w:rPr>
          <w:rFonts w:hint="default" w:ascii="Times New Roman" w:hAnsi="Times New Roman" w:eastAsia="仿宋_GB2312" w:cs="Times New Roman"/>
          <w:sz w:val="32"/>
          <w:szCs w:val="32"/>
          <w:highlight w:val="none"/>
          <w:lang w:eastAsia="zh-Hans"/>
        </w:rPr>
        <w:t>严格财政资金支出管理，强化资金监管与风险预警，筑牢财政安全运行防线。一是坚决压减一般性支出。严格落实过“紧日子”要求，聚焦“三公”经费、机关运行经费、</w:t>
      </w:r>
      <w:r>
        <w:rPr>
          <w:rFonts w:hint="eastAsia" w:eastAsia="仿宋_GB2312" w:cs="Times New Roman"/>
          <w:sz w:val="32"/>
          <w:szCs w:val="32"/>
          <w:highlight w:val="none"/>
          <w:lang w:eastAsia="zh-CN"/>
        </w:rPr>
        <w:t>政府采购</w:t>
      </w:r>
      <w:r>
        <w:rPr>
          <w:rFonts w:hint="default" w:ascii="Times New Roman" w:hAnsi="Times New Roman" w:eastAsia="仿宋_GB2312" w:cs="Times New Roman"/>
          <w:sz w:val="32"/>
          <w:szCs w:val="32"/>
          <w:highlight w:val="none"/>
          <w:lang w:eastAsia="zh-Hans"/>
        </w:rPr>
        <w:t>支出、预算绩效等社会重点关注内容，优化支出结构，从严控制各类活动，坚持“小钱小气，大钱大方”，确保每一笔财政资金用在刀刃上。二是扎实做好“三保”保障。始终将“三保”支出置于财政支出优先地位，强化“三保”预算审核，严格对照国家“三保”保障清单逐笔审核支出项目和财力来源，明确支出优先顺序。全年“三保”支出19.06亿元，保基本民生政策全面落实，在编在岗人员工资及时足额发放，政府机关、事业单位有序运转。三是持续防范化解政府债务风险。坚持把防范化解重大风险作为工作的重中之重，积极化解债务风险，坚决遏制隐性债务增量、稳妥化解存量。通过置换缓释、集中财力偿还、注资扶持等方式，全年累计偿还各类政府债务、国资系统融资债务本息共计6.88亿元，确保到期债务本息按时足额兑付；通过多种方式筹集资金13.69亿元，用于偿还“6·30”台账内拖欠款，圆满完成年度“6·30”台账化解目标，有效降低存量债务规模，目前我区债务水平总体可控。</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4.践行为民理财，增进民生福祉质感。</w:t>
      </w:r>
      <w:r>
        <w:rPr>
          <w:rFonts w:hint="default" w:ascii="Times New Roman" w:hAnsi="Times New Roman" w:eastAsia="仿宋_GB2312" w:cs="Times New Roman"/>
          <w:sz w:val="32"/>
          <w:szCs w:val="32"/>
          <w:highlight w:val="none"/>
          <w:lang w:eastAsia="zh-Hans"/>
        </w:rPr>
        <w:t>始终把人民立场作为根本立场，把为人民谋幸福作为根本使命，全年民生支出32.27亿元，占一般公共预算支出比例为75.5%。其中：通过一卡通系统发放财政惠民惠农补贴资金3.71亿元，惠及群众50.06万人次。一是优化教育资源配置。教育领域投入7.51亿元，同比增长4.12%，全力支持学前教育资源配置优化，改善办园条件，逐步推行免费学前教育，落实义务教育阶段“两免一补”、高中助学金、高中免学杂费等一系列教育资助政策，促进我区义务教育薄弱环节改善和能力提升。二是完善社会保障体系。社会保障和就业投入5.15亿元，同比增长7.25%，按时足额发放离退休人员基本养老金、落实特殊人群最低生活保障，低保、临时救助、特困人员救助供养、育儿补贴等民生保障政策。三是改善城乡居住条件。住房保障领域投入3.90亿元，同比增长57.65%，积极支持配租型保障性住房筹集建设、老旧小区改造、棚户区改造等，改善群众生活环境和居住条件，助力住房困难群体加快实现“安居梦”。四是全面推进乡村振兴。加强巩固拓展脱贫攻坚成果资金投入，进一步整合财政涉农资金，全年中央及自治区财政衔接推进乡村振兴补助资金到位2.60亿元，已拨付2.50亿元，执行率达96.15%，有力推动“三农”及乡村振兴高质量发展。</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5.深化改革创新，推进高水平财政治理。</w:t>
      </w:r>
      <w:r>
        <w:rPr>
          <w:rFonts w:hint="default" w:ascii="Times New Roman" w:hAnsi="Times New Roman" w:eastAsia="仿宋_GB2312" w:cs="Times New Roman"/>
          <w:sz w:val="32"/>
          <w:szCs w:val="32"/>
          <w:highlight w:val="none"/>
          <w:lang w:eastAsia="zh-Hans"/>
        </w:rPr>
        <w:t>紧扣财政改革核心任务，综合施策构建现代化财政治理格局。一是深化预算绩效管理改革。建立健全“全方位、全过程、全覆盖”预算绩效闭环体系，有序推进部门整体绩效自评和项目绩效自评工作，开展重点项目绩效评价工作，着力推动绩效与预算管理深度融合，提高财政资金使用效益。2025年区级部门单位部门预算安排项目547个，全部按标准严格审核绩效目标，各部门单位主动剔除“水分”，自觉削减低效和无效支出。二是严肃财经纪律。聚焦薄弱环节，组织开展惠民利民财政补贴资金专项整治和财经纪律专项整治行动，对专项补贴相关领域资金管理问题监督检查，以财会监督专项行动为抓手，更好发挥财会监督在规范财政财务管理、提高会计信息质量、</w:t>
      </w:r>
      <w:r>
        <w:rPr>
          <w:rFonts w:hint="eastAsia" w:eastAsia="仿宋_GB2312" w:cs="Times New Roman"/>
          <w:sz w:val="32"/>
          <w:szCs w:val="32"/>
          <w:highlight w:val="none"/>
          <w:lang w:eastAsia="zh-CN"/>
        </w:rPr>
        <w:t>严肃财经纪律</w:t>
      </w:r>
      <w:r>
        <w:rPr>
          <w:rFonts w:hint="default" w:ascii="Times New Roman" w:hAnsi="Times New Roman" w:eastAsia="仿宋_GB2312" w:cs="Times New Roman"/>
          <w:sz w:val="32"/>
          <w:szCs w:val="32"/>
          <w:highlight w:val="none"/>
          <w:lang w:eastAsia="zh-Hans"/>
        </w:rPr>
        <w:t>约束方面重要作用。2025年组织全区财务人员开展财政业务培训17场次、2474人次，开展监督检查17项，现场监督55场次，派出检查人员206人次；对全区代理记账机构代理记账行业开展专项整治，受理审核代理记账机构35家。三是持续深化体制改革。深入贯彻落实自治区以下财政体制改革部署，按照财政体制改革前与改革后收入划分并行机制，切实加强收入预算与执行；进一步梳理现行政策制度、财政事权支出责任与支出标准，在统一制度框架内明确事权内容、保障方式等，建立共同财政事权和支出责任动态调整机制。</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各位代表</w:t>
      </w:r>
      <w:r>
        <w:rPr>
          <w:rFonts w:hint="default" w:ascii="Times New Roman" w:hAnsi="Times New Roman" w:eastAsia="仿宋_GB2312" w:cs="Times New Roman"/>
          <w:sz w:val="32"/>
          <w:szCs w:val="32"/>
          <w:highlight w:val="none"/>
          <w:lang w:eastAsia="zh-Hans"/>
        </w:rPr>
        <w:t>，2025年高昌区财政工作取得了一定成绩，各项财政改革发展取得新的进展。在看到成绩的同时，我们也清醒地认识到，财政运行与改革中仍存在不容忽视的问题：从客观来看，财政整体实力较弱，刚性支出持续增长，收支矛盾日益突出；税收结构不优，可持续增收动能不足；从主观来看，在提升资金使用效率，强化预算刚性约束、加快预算执行进度等方面，与人民群众的期盼存在差距。这些都需要我们在今后工作中高度重视、认真研究、切实解决。</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黑体" w:hAnsi="黑体" w:eastAsia="黑体" w:cs="黑体"/>
          <w:sz w:val="32"/>
          <w:szCs w:val="32"/>
          <w:highlight w:val="none"/>
          <w:lang w:eastAsia="zh-Hans"/>
        </w:rPr>
        <w:t>二、2026年预算草案</w:t>
      </w:r>
    </w:p>
    <w:p>
      <w:pPr>
        <w:spacing w:line="560" w:lineRule="exact"/>
        <w:ind w:firstLine="643" w:firstLineChars="200"/>
        <w:rPr>
          <w:rFonts w:hint="default" w:ascii="楷体_GB2312" w:hAnsi="楷体_GB2312" w:eastAsia="楷体_GB2312" w:cs="楷体_GB2312"/>
          <w:b/>
          <w:bCs/>
          <w:sz w:val="32"/>
          <w:szCs w:val="32"/>
          <w:highlight w:val="none"/>
          <w:lang w:eastAsia="zh-Hans"/>
        </w:rPr>
      </w:pPr>
      <w:r>
        <w:rPr>
          <w:rFonts w:hint="default" w:ascii="楷体_GB2312" w:hAnsi="楷体_GB2312" w:eastAsia="楷体_GB2312" w:cs="楷体_GB2312"/>
          <w:b/>
          <w:bCs/>
          <w:sz w:val="32"/>
          <w:szCs w:val="32"/>
          <w:highlight w:val="none"/>
          <w:lang w:eastAsia="zh-Hans"/>
        </w:rPr>
        <w:t>（一）预算编制指导思想</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坚持以习近平新时代中国特色社会主义思想为指导，深入学习贯彻党的二十大和二十届历次全会精神，贯彻落实</w:t>
      </w:r>
      <w:r>
        <w:rPr>
          <w:rFonts w:hint="eastAsia" w:eastAsia="仿宋_GB2312" w:cs="Times New Roman"/>
          <w:sz w:val="32"/>
          <w:szCs w:val="32"/>
          <w:highlight w:val="none"/>
          <w:lang w:eastAsia="zh-CN"/>
        </w:rPr>
        <w:t>习近平总书记关于新疆工作的重要讲话和重要指示批示精神</w:t>
      </w:r>
      <w:r>
        <w:rPr>
          <w:rFonts w:hint="default" w:ascii="Times New Roman" w:hAnsi="Times New Roman" w:eastAsia="仿宋_GB2312" w:cs="Times New Roman"/>
          <w:sz w:val="32"/>
          <w:szCs w:val="32"/>
          <w:highlight w:val="none"/>
          <w:lang w:eastAsia="zh-Hans"/>
        </w:rPr>
        <w:t>，深刻领会和准确把握党中央关于经济工作的总体要求、政策取向和重点任务，全面落实自治区党委、政府部署要求及市委、市政府和区委、区政府工作安排，完整准确全面贯彻新发展理念和新时代党的治疆方略，牢牢扭住社会稳定和长治久安总目标，加快构建新发展格局，坚持稳中求进、提质增效的工作总基调，扎实推动高质量发展。落实落细更加积极的财政政策，大力弘扬过“紧日子”思想，持续优化财政支出结构，深化零基预算改革，强化财政科学管理，积极防范财政运行风险，为经济和社会发展提供坚实财力支撑。</w:t>
      </w:r>
    </w:p>
    <w:p>
      <w:pPr>
        <w:spacing w:line="560" w:lineRule="exact"/>
        <w:ind w:firstLine="643" w:firstLineChars="200"/>
        <w:rPr>
          <w:rFonts w:hint="default" w:ascii="楷体_GB2312" w:hAnsi="楷体_GB2312" w:eastAsia="楷体_GB2312" w:cs="楷体_GB2312"/>
          <w:b/>
          <w:bCs/>
          <w:sz w:val="32"/>
          <w:szCs w:val="32"/>
          <w:highlight w:val="none"/>
          <w:lang w:eastAsia="zh-Hans"/>
        </w:rPr>
      </w:pPr>
      <w:r>
        <w:rPr>
          <w:rFonts w:hint="default" w:ascii="楷体_GB2312" w:hAnsi="楷体_GB2312" w:eastAsia="楷体_GB2312" w:cs="楷体_GB2312"/>
          <w:b/>
          <w:bCs/>
          <w:sz w:val="32"/>
          <w:szCs w:val="32"/>
          <w:highlight w:val="none"/>
          <w:lang w:eastAsia="zh-Hans"/>
        </w:rPr>
        <w:t>（二）一般公共预算、政府性基金预算、国有资本经营预算和社会保险基金预算草案</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1.一般公共预算草案</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财政体制改革后一般公共预算收入安排13.97亿元，同比增长10%。其中：税收收入安排8.38亿元，非税收入安排5.59亿元。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val="0"/>
          <w:bCs w:val="0"/>
          <w:sz w:val="32"/>
          <w:szCs w:val="32"/>
          <w:highlight w:val="none"/>
          <w:lang w:eastAsia="zh-Hans"/>
        </w:rPr>
        <w:t>一般公共预算支出安排45.85亿元。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w:t>
      </w:r>
      <w:r>
        <w:rPr>
          <w:rFonts w:hint="default" w:ascii="Times New Roman" w:hAnsi="Times New Roman" w:eastAsia="仿宋_GB2312" w:cs="Times New Roman"/>
          <w:sz w:val="32"/>
          <w:szCs w:val="32"/>
          <w:highlight w:val="none"/>
          <w:lang w:eastAsia="zh-Hans"/>
        </w:rPr>
        <w:t>收入总计48.37亿元，其中：一般公共预算收入预计13.97亿元，上级补助收入预计19.47亿元，调入资金3亿元，上年结余11.87亿元，动用预算稳定调节基金573万元。支出总计48.37亿元，其中：一般公共预算支出预计45.85亿元，上解支出0.62亿元，一般债券还本支出1.59亿元，外债还本支出0.31亿元。做到收支平衡。</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2026年“三保”预算安排18.83亿元，其中：保基本民生预算安排5.24亿元，保工资预算安排13.29亿元，保运转预算安排0.30亿元。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2.政府性基金预算草案</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政府性基金预算收入安排7.35亿元。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政府性基金预算支出安排26.18亿元。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w:t>
      </w:r>
      <w:r>
        <w:rPr>
          <w:rFonts w:hint="default" w:ascii="Times New Roman" w:hAnsi="Times New Roman" w:eastAsia="仿宋_GB2312" w:cs="Times New Roman"/>
          <w:sz w:val="32"/>
          <w:szCs w:val="32"/>
          <w:highlight w:val="none"/>
          <w:lang w:eastAsia="zh-Hans"/>
        </w:rPr>
        <w:t>收入总计29.45亿元，其中：政府性基金本级收入预计7.35亿元，上级补助收入预计0.34亿元，上年结转结余21.76亿元。支出总计29.45亿元，其中：政府性基金预算支出预计26.18亿元，调出资金3亿元</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债务还本0.27亿元。做到收支平衡。</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3.国有资本经营预算草案</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国有资本经营预算收入安排480万元。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国有资本经营预算支出安排510万元。</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w:t>
      </w:r>
      <w:r>
        <w:rPr>
          <w:rFonts w:hint="default" w:ascii="Times New Roman" w:hAnsi="Times New Roman" w:eastAsia="仿宋_GB2312" w:cs="Times New Roman"/>
          <w:sz w:val="32"/>
          <w:szCs w:val="32"/>
          <w:highlight w:val="none"/>
          <w:lang w:eastAsia="zh-Hans"/>
        </w:rPr>
        <w:t>：收入总计510万元，其中：上年结余资金11万元，其他国有资本经营收入480万元，上级补助收入19万元。支出总计510万元。做到收支平衡。</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4.社会保险基金预算草案</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社会保险基金预算收入安排4.93亿元。</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社会保险基金预算支出安排4.64亿元。</w:t>
      </w:r>
    </w:p>
    <w:p>
      <w:pPr>
        <w:spacing w:line="560" w:lineRule="exact"/>
        <w:ind w:firstLine="643" w:firstLineChars="200"/>
        <w:rPr>
          <w:rFonts w:hint="eastAsia" w:ascii="黑体" w:hAnsi="黑体" w:eastAsia="黑体" w:cs="黑体"/>
          <w:sz w:val="32"/>
          <w:szCs w:val="32"/>
          <w:highlight w:val="none"/>
          <w:lang w:eastAsia="zh-Hans"/>
        </w:rPr>
      </w:pPr>
      <w:r>
        <w:rPr>
          <w:rFonts w:hint="default" w:ascii="Times New Roman" w:hAnsi="Times New Roman" w:eastAsia="仿宋_GB2312" w:cs="Times New Roman"/>
          <w:b/>
          <w:bCs/>
          <w:sz w:val="32"/>
          <w:szCs w:val="32"/>
          <w:highlight w:val="none"/>
          <w:lang w:eastAsia="zh-Hans"/>
        </w:rPr>
        <w:t>收支平衡情况：</w:t>
      </w:r>
      <w:r>
        <w:rPr>
          <w:rFonts w:hint="default" w:ascii="Times New Roman" w:hAnsi="Times New Roman" w:eastAsia="仿宋_GB2312" w:cs="Times New Roman"/>
          <w:sz w:val="32"/>
          <w:szCs w:val="32"/>
          <w:highlight w:val="none"/>
          <w:lang w:eastAsia="zh-Hans"/>
        </w:rPr>
        <w:t>收入总计4.93亿元，其中：社会保险费收入2.79亿元，财政补贴收入0.97亿元，利息收入57万元，转移收入380万元，委托投资收益666万元，上级补助收入1.06亿元，集体补助收入14万元，其他收入26万元。支出总计4.64亿元，其中：社会保险待遇支出4.61亿元，转移支出339万元，其他支出9万元。预计2026年当年结转结</w:t>
      </w:r>
      <w:r>
        <w:rPr>
          <w:rFonts w:hint="eastAsia" w:ascii="仿宋_GB2312" w:hAnsi="仿宋_GB2312" w:eastAsia="仿宋_GB2312" w:cs="仿宋_GB2312"/>
          <w:sz w:val="32"/>
          <w:szCs w:val="32"/>
          <w:highlight w:val="none"/>
          <w:lang w:eastAsia="zh-Hans"/>
        </w:rPr>
        <w:t>余0.29亿元。上年结转结余2.71亿元，年终滚存结转结余3.00亿元。做到收支平衡。</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eastAsia" w:ascii="黑体" w:hAnsi="黑体" w:eastAsia="黑体" w:cs="黑体"/>
          <w:sz w:val="32"/>
          <w:szCs w:val="32"/>
          <w:highlight w:val="none"/>
          <w:lang w:eastAsia="zh-Hans"/>
        </w:rPr>
        <w:t>三、锚定目标，实干笃行，做好2026年财政工作</w:t>
      </w:r>
    </w:p>
    <w:p>
      <w:pPr>
        <w:spacing w:line="560" w:lineRule="exact"/>
        <w:ind w:firstLine="640"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t>2026年是“十五五”规划开局之年，做好财政工作意义重大。高昌区将认真贯彻落实中央经济工作会议和自治区党委十届十五次全会、经济工作会议部署，以及市委二届八次全会暨市委经济工作会议和区委二届七次全会要求，锚定党中央赋予新疆的“五大战略定位”，按照市委“5232”体系架构和“9358N”现代化产业体系的战略部署，精准施策保存量、促增量、优结构，倾心倾力保重点、惠民生、增效益，守正创新推改革、防风险、强监督，推动高昌区经济实现质的有效提升和量的合理增长，为实现“十五五”良好开局提供有力保障。</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（一）突出“实”字抓收入，不断集聚地方财力。</w:t>
      </w:r>
      <w:r>
        <w:rPr>
          <w:rFonts w:hint="default" w:ascii="Times New Roman" w:hAnsi="Times New Roman" w:eastAsia="仿宋_GB2312" w:cs="Times New Roman"/>
          <w:sz w:val="32"/>
          <w:szCs w:val="32"/>
          <w:highlight w:val="none"/>
          <w:lang w:eastAsia="zh-Hans"/>
        </w:rPr>
        <w:t>坚持全区组织收入工作统筹谋划、一体推进，将聚财增收作为首要任务，多维发力、攻坚破难，为高质量发展奠定财力基础。一是壮大实体经济根基。以招商引资为“强引擎”，打好财源培育“组合拳”。集中资源全力保障粤新集团风电光伏全产业链、恒逸集团煤化工一体化等具有全局性、引领性的重大产业项目快落地、快建设、快投产、快达效，把握“战略开发”这一历史机遇，打造具有核心竞争力和强大税收贡献的产业集群。精准支持本地传统优势企业技术改造、数字化转型和绿色化升级，培育“专精特新”企业。继续落实落细各项支持中小微企业和个体工商户发展的减税降费、贷款贴息、援企稳岗等政策，使市场主体切实享受政策红利，着力纾解企业困难，用好用足财政贴息、融资担保等组合式工具，支持金融机构更好地服务市场主体。探索推进</w:t>
      </w:r>
      <w:r>
        <w:rPr>
          <w:rFonts w:hint="eastAsia" w:eastAsia="仿宋_GB2312" w:cs="Times New Roman"/>
          <w:sz w:val="32"/>
          <w:szCs w:val="32"/>
          <w:highlight w:val="none"/>
          <w:lang w:eastAsia="zh-CN"/>
        </w:rPr>
        <w:t>国有“三资”“</w:t>
      </w:r>
      <w:r>
        <w:rPr>
          <w:rFonts w:hint="default" w:ascii="Times New Roman" w:hAnsi="Times New Roman" w:eastAsia="仿宋_GB2312" w:cs="Times New Roman"/>
          <w:sz w:val="32"/>
          <w:szCs w:val="32"/>
          <w:highlight w:val="none"/>
          <w:lang w:eastAsia="zh-Hans"/>
        </w:rPr>
        <w:t>三化”改革实践，实现财政增收、债务缓释与国企壮大协同发展，为地方经济高质量发展提供可持续动力。二是加强组织收入形势研判。紧盯新形势下经济发展态势，提前谋划全年收入工作，压实组织收入责任，强化部门间协调联动。运用大数据、信息化手段强化税收征管，精准识别税源，堵塞征管漏洞；依法依规加强国有资源（资产）有偿使用收入、特许经营收入等管理，全面盘活行政事业单位闲置房产、土地、设备等存量资产，实现国有资产资源的优化配置和保值增值；加快优质土地出让进度，形成更多可用财力；做好专项债券项目资产运营维护，加强项目管理维护，切实提高项目运营水平，确保项目收入如期实现。三是积极争取上级赋能。深入研究上级财政政策导向，紧扣新疆</w:t>
      </w:r>
      <w:r>
        <w:rPr>
          <w:rFonts w:hint="eastAsia" w:eastAsia="仿宋_GB2312" w:cs="Times New Roman"/>
          <w:sz w:val="32"/>
          <w:szCs w:val="32"/>
          <w:highlight w:val="none"/>
          <w:lang w:eastAsia="zh-CN"/>
        </w:rPr>
        <w:t>“五大战略定位”</w:t>
      </w:r>
      <w:r>
        <w:rPr>
          <w:rFonts w:hint="default" w:ascii="Times New Roman" w:hAnsi="Times New Roman" w:eastAsia="仿宋_GB2312" w:cs="Times New Roman"/>
          <w:sz w:val="32"/>
          <w:szCs w:val="32"/>
          <w:highlight w:val="none"/>
          <w:lang w:eastAsia="zh-Hans"/>
        </w:rPr>
        <w:t>、自治区十大产业集群、吐鲁番市“9358N”现代化产业体系，精准研判转移支付资金来源、投向、核算标准等关键要素，全面梳理和申报符合政策导向的优质项目，致力于完善产业园区基础设施，加速产业升级，培育新的经济增长点，</w:t>
      </w:r>
      <w:r>
        <w:rPr>
          <w:rFonts w:hint="eastAsia" w:eastAsia="仿宋_GB2312" w:cs="Times New Roman"/>
          <w:sz w:val="32"/>
          <w:szCs w:val="32"/>
          <w:highlight w:val="none"/>
          <w:lang w:eastAsia="zh-CN"/>
        </w:rPr>
        <w:t>实体经济</w:t>
      </w:r>
      <w:r>
        <w:rPr>
          <w:rFonts w:hint="default" w:ascii="Times New Roman" w:hAnsi="Times New Roman" w:eastAsia="仿宋_GB2312" w:cs="Times New Roman"/>
          <w:sz w:val="32"/>
          <w:szCs w:val="32"/>
          <w:highlight w:val="none"/>
          <w:lang w:eastAsia="zh-Hans"/>
        </w:rPr>
        <w:t>结构的转型升级，各部门建立常态化向上对接机制，力争在一般性转移支付、专项转移支付、特殊政策、地方政府债券额度等方面获得更大倾斜。</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（二）突出“严”字控支出，不断优化支出结构。</w:t>
      </w:r>
      <w:r>
        <w:rPr>
          <w:rFonts w:hint="default" w:ascii="Times New Roman" w:hAnsi="Times New Roman" w:eastAsia="仿宋_GB2312" w:cs="Times New Roman"/>
          <w:sz w:val="32"/>
          <w:szCs w:val="32"/>
          <w:highlight w:val="none"/>
          <w:lang w:eastAsia="zh-Hans"/>
        </w:rPr>
        <w:t>坚持系统思维，严控财政支出，把优化资金配置作为核心抓手，推动财政资金发挥最大使用效益。一是严格落实党政机关</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过紧日子</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的要求，从严管控“三公”经费预算，把牢预算管理、资产配置、政府采购等关口，更大力度压减一般性支出，把更多宝贵的财政资金腾挪出来，用在发展紧要处、民生急需上。二是保持必要支出强度。严格按照预算安排，强化业务数据共享，科学制定资金分配及支出计划，加快资金拨付进度，提升财政支出效率。加快政府债券、超长期特别国债等资金使用，切实提高项目储备质量，确保资金尽快形成实物工作量，提升投资拉动力。集中财力保障区委、区政府确定的重大战略、重点任务、重要改革，加大对科技创新、产业升级、乡村振兴、生态环保、民生改善等关键领域的精准投入。</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（三）突出“管”字强执行，不断健全制度机制。</w:t>
      </w:r>
      <w:r>
        <w:rPr>
          <w:rFonts w:hint="default" w:ascii="Times New Roman" w:hAnsi="Times New Roman" w:eastAsia="仿宋_GB2312" w:cs="Times New Roman"/>
          <w:sz w:val="32"/>
          <w:szCs w:val="32"/>
          <w:highlight w:val="none"/>
          <w:lang w:eastAsia="zh-Hans"/>
        </w:rPr>
        <w:t>完善管理体系，硬化监管约束，增强财政运行的规范性和安全性。一是提升预算管理质效。健全预算制度，加强财政资源和预算统筹，实施全口径预算管理，提高预算管理信息化水平，积极落实中央、自治区部署，推动建立权责清晰、财力协调、区域均衡的财政关系；强化预算刚性约束，真正管好用好财政资金。二是强化财政监督检查。充分发挥财政监管职能，严肃财经纪律，进一步</w:t>
      </w:r>
      <w:r>
        <w:rPr>
          <w:rFonts w:hint="eastAsia" w:eastAsia="仿宋_GB2312" w:cs="Times New Roman"/>
          <w:sz w:val="32"/>
          <w:szCs w:val="32"/>
          <w:highlight w:val="none"/>
          <w:lang w:eastAsia="zh-CN"/>
        </w:rPr>
        <w:t>加强财政科学管理</w:t>
      </w:r>
      <w:r>
        <w:rPr>
          <w:rFonts w:hint="default" w:ascii="Times New Roman" w:hAnsi="Times New Roman" w:eastAsia="仿宋_GB2312" w:cs="Times New Roman"/>
          <w:sz w:val="32"/>
          <w:szCs w:val="32"/>
          <w:highlight w:val="none"/>
          <w:lang w:eastAsia="zh-Hans"/>
        </w:rPr>
        <w:t>，健全完善财政财务管理制度，聚焦银行账户管理、会计基础工作、乡镇财政管理等薄弱环节，补齐管理短板，推动财政基础管理提质增效。三是深化阳光财政建设。主动接受人大、审计监督，依法向区人大常委会报告预决算草案、预算调整方案、预算执行情况、国有资产管理情况、政府债务管理情况等。聚焦财政专项资金分配使用、财经纪律重点问题整治、专项资金监管等重点领域和关键环节，扎实做好审计、巡视巡察反馈问题整改工作。</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（四）突出“牢”字防风险，不断筑牢安全底线。</w:t>
      </w:r>
      <w:r>
        <w:rPr>
          <w:rFonts w:hint="default" w:ascii="Times New Roman" w:hAnsi="Times New Roman" w:eastAsia="仿宋_GB2312" w:cs="Times New Roman"/>
          <w:sz w:val="32"/>
          <w:szCs w:val="32"/>
          <w:highlight w:val="none"/>
          <w:lang w:eastAsia="zh-Hans"/>
        </w:rPr>
        <w:t>牢固树立底线红线思维，做到抓发展一天也不能等，抓安全一刻也不能松。一是切实兜牢“三保”底线。加强“三保”支出执行监控，依托预算管理一体化系统，实时掌握资金使用情况，对资金流向和使用进度实施动态跟踪，及时发现和解决问题，严防财政运行风险。二是积极化解地方债务风险。加强到期债务情况分析研判，建立健全防范化解地方债务风险工作机制，积极稳妥化解债务存量，坚决遏制增量，优化债务结构，做好到期债务还本付息工作，守住不发生系统性风险底线。三是严防资金</w:t>
      </w:r>
      <w:r>
        <w:rPr>
          <w:rFonts w:hint="eastAsia" w:eastAsia="仿宋_GB2312" w:cs="Times New Roman"/>
          <w:sz w:val="32"/>
          <w:szCs w:val="32"/>
          <w:highlight w:val="none"/>
          <w:lang w:eastAsia="zh-CN"/>
        </w:rPr>
        <w:t>风险管理</w:t>
      </w:r>
      <w:r>
        <w:rPr>
          <w:rFonts w:hint="default" w:ascii="Times New Roman" w:hAnsi="Times New Roman" w:eastAsia="仿宋_GB2312" w:cs="Times New Roman"/>
          <w:sz w:val="32"/>
          <w:szCs w:val="32"/>
          <w:highlight w:val="none"/>
          <w:lang w:eastAsia="zh-Hans"/>
        </w:rPr>
        <w:t>。常态化整饬财经秩序，强化重大财税政策落实情况监督，紧盯过“紧日子”、国库管理、资产管理、政府采购、资金使用等重点领域，加强部门预算闭环监管，遏制财政资金管理使用违规行为，确保财政资金安全、规范、高效运行，让财经纪律成为不可逾越的“高压线”。</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（五）突出“新”字引改革，不断完善财政体制。</w:t>
      </w:r>
      <w:r>
        <w:rPr>
          <w:rFonts w:hint="default" w:ascii="Times New Roman" w:hAnsi="Times New Roman" w:eastAsia="仿宋_GB2312" w:cs="Times New Roman"/>
          <w:sz w:val="32"/>
          <w:szCs w:val="32"/>
          <w:highlight w:val="none"/>
          <w:lang w:eastAsia="zh-Hans"/>
        </w:rPr>
        <w:t>秉持创新思维引领财政体制改革向纵深发展，以系统性举措</w:t>
      </w:r>
      <w:r>
        <w:rPr>
          <w:rFonts w:hint="eastAsia" w:eastAsia="仿宋_GB2312" w:cs="Times New Roman"/>
          <w:sz w:val="32"/>
          <w:szCs w:val="32"/>
          <w:highlight w:val="none"/>
          <w:lang w:eastAsia="zh-CN"/>
        </w:rPr>
        <w:t>推进社会治理现代化</w:t>
      </w:r>
      <w:r>
        <w:rPr>
          <w:rFonts w:hint="default" w:ascii="Times New Roman" w:hAnsi="Times New Roman" w:eastAsia="仿宋_GB2312" w:cs="Times New Roman"/>
          <w:sz w:val="32"/>
          <w:szCs w:val="32"/>
          <w:highlight w:val="none"/>
          <w:lang w:eastAsia="zh-Hans"/>
        </w:rPr>
        <w:t>，着力构建更高效、更规范的财政运行新格局。一是坚定不移推进零基预算改革，重塑财政资金分配与管理模式，坚持一切从实际需求出发，通过严格的项目论证及分析，确保财政资金流向最需要、最能产生效益的领域，提高资金的使用效率和绩效水平。二是夯实数字财政赋能。推动数字财政建设，深化财政信息系统一体化建设和整合，保持财政业务数据纵横贯通，实现对各单位预算执行情况的动态管理。三是强化预算绩效约束。将绩效理念深度融入预算编制、执行、监督全过程，强化结果运用，推进财政资金绩效全覆盖。将绩效评价贯穿财政资金使用全过程，建立绩效评价结果与预算安排直接挂钩机制，对低效无效项目坚决予以退出，对绩效优良项目优先保障，切实提升财政资源配置效率和资金使用效益。</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各位代表</w:t>
      </w:r>
      <w:r>
        <w:rPr>
          <w:rFonts w:hint="default" w:ascii="Times New Roman" w:hAnsi="Times New Roman" w:eastAsia="仿宋_GB2312" w:cs="Times New Roman"/>
          <w:sz w:val="32"/>
          <w:szCs w:val="32"/>
          <w:highlight w:val="none"/>
          <w:lang w:eastAsia="zh-Hans"/>
        </w:rPr>
        <w:t>，万里征程再起航，千钧重任又出发。我们有信心、有决心在区委、区政府的</w:t>
      </w:r>
      <w:bookmarkStart w:id="1" w:name="_GoBack"/>
      <w:bookmarkEnd w:id="1"/>
      <w:r>
        <w:rPr>
          <w:rFonts w:hint="default" w:ascii="Times New Roman" w:hAnsi="Times New Roman" w:eastAsia="仿宋_GB2312" w:cs="Times New Roman"/>
          <w:sz w:val="32"/>
          <w:szCs w:val="32"/>
          <w:highlight w:val="none"/>
          <w:lang w:eastAsia="zh-Hans"/>
        </w:rPr>
        <w:t>领导下</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eastAsia="zh-Hans"/>
        </w:rPr>
        <w:t>在区人大的监督指导下，坚持以习近平新时代中国特色社会主义思想为指导，以永不懈怠的精神状态和一往无前的奋斗姿态，心无旁骛、只争朝夕，奋力推动财政改革发展再上新台阶，为谱写中国式现代化高昌实践崭新篇章作出更大贡献！</w:t>
      </w:r>
    </w:p>
    <w:p>
      <w:pPr>
        <w:spacing w:line="560" w:lineRule="exact"/>
        <w:ind w:firstLine="640" w:firstLineChars="200"/>
        <w:rPr>
          <w:rFonts w:hint="default" w:ascii="Times New Roman" w:hAnsi="Times New Roman" w:eastAsia="仿宋_GB2312" w:cs="Times New Roman"/>
          <w:sz w:val="32"/>
          <w:szCs w:val="32"/>
          <w:highlight w:val="none"/>
          <w:lang w:eastAsia="zh-Hans"/>
        </w:rPr>
      </w:pPr>
    </w:p>
    <w:p>
      <w:pPr>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eastAsia="zh-Hans"/>
        </w:rPr>
        <w:br w:type="page"/>
      </w:r>
    </w:p>
    <w:p>
      <w:pPr>
        <w:spacing w:line="560" w:lineRule="exact"/>
        <w:jc w:val="center"/>
        <w:rPr>
          <w:rFonts w:hint="default" w:ascii="Times New Roman" w:hAnsi="Times New Roman" w:eastAsia="仿宋_GB2312" w:cs="Times New Roman"/>
          <w:sz w:val="32"/>
          <w:szCs w:val="32"/>
          <w:highlight w:val="none"/>
          <w:lang w:eastAsia="zh-Hans"/>
        </w:rPr>
      </w:pPr>
      <w:r>
        <w:rPr>
          <w:rFonts w:hint="eastAsia" w:ascii="方正小标宋简体" w:hAnsi="方正小标宋简体" w:eastAsia="方正小标宋简体" w:cs="方正小标宋简体"/>
          <w:sz w:val="44"/>
          <w:szCs w:val="44"/>
          <w:highlight w:val="none"/>
          <w:lang w:eastAsia="zh-Hans"/>
        </w:rPr>
        <w:t>名词解释</w:t>
      </w:r>
    </w:p>
    <w:p>
      <w:pPr>
        <w:spacing w:line="560" w:lineRule="exact"/>
        <w:ind w:firstLine="640" w:firstLineChars="200"/>
        <w:rPr>
          <w:rFonts w:hint="default" w:ascii="Times New Roman" w:hAnsi="Times New Roman" w:eastAsia="仿宋_GB2312" w:cs="Times New Roman"/>
          <w:sz w:val="32"/>
          <w:szCs w:val="32"/>
          <w:highlight w:val="none"/>
          <w:lang w:eastAsia="zh-Hans"/>
        </w:rPr>
      </w:pP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“三保”：</w:t>
      </w:r>
      <w:r>
        <w:rPr>
          <w:rFonts w:hint="default" w:ascii="Times New Roman" w:hAnsi="Times New Roman" w:eastAsia="仿宋_GB2312" w:cs="Times New Roman"/>
          <w:sz w:val="32"/>
          <w:szCs w:val="32"/>
          <w:highlight w:val="none"/>
          <w:lang w:eastAsia="zh-Hans"/>
        </w:rPr>
        <w:t>是指保基本民生、保工资、保运转。</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一般公共预算：</w:t>
      </w:r>
      <w:r>
        <w:rPr>
          <w:rFonts w:hint="default" w:ascii="Times New Roman" w:hAnsi="Times New Roman" w:eastAsia="仿宋_GB2312" w:cs="Times New Roman"/>
          <w:sz w:val="32"/>
          <w:szCs w:val="32"/>
          <w:highlight w:val="none"/>
          <w:lang w:eastAsia="zh-Hans"/>
        </w:rPr>
        <w:t>是指对以税收为主体的财政收入，安排用于保障和改善民生、推动经济社会发展、维护国家安全、维持国家机构正常运转等方面的收支预算。</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政府性基金预算：</w:t>
      </w:r>
      <w:r>
        <w:rPr>
          <w:rFonts w:hint="default" w:ascii="Times New Roman" w:hAnsi="Times New Roman" w:eastAsia="仿宋_GB2312" w:cs="Times New Roman"/>
          <w:sz w:val="32"/>
          <w:szCs w:val="32"/>
          <w:highlight w:val="none"/>
          <w:lang w:eastAsia="zh-Hans"/>
        </w:rPr>
        <w:t>是指对依照法律、行政法规的规定，在一定期限内向特定对象征收、收取或者其他方式募集的资金，专项用于特定公共事业发展的收支预算，依照基金项目编制，以收定支。</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国有资本经营预算：</w:t>
      </w:r>
      <w:r>
        <w:rPr>
          <w:rFonts w:hint="default" w:ascii="Times New Roman" w:hAnsi="Times New Roman" w:eastAsia="仿宋_GB2312" w:cs="Times New Roman"/>
          <w:sz w:val="32"/>
          <w:szCs w:val="32"/>
          <w:highlight w:val="none"/>
          <w:lang w:eastAsia="zh-Hans"/>
        </w:rPr>
        <w:t>是指对国有资本收益作出支出安排的收支预算，按照收支平衡原则编制，不列赤字，并安排资金调入一般公共预算。</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社会保险基金预算：</w:t>
      </w:r>
      <w:r>
        <w:rPr>
          <w:rFonts w:hint="default" w:ascii="Times New Roman" w:hAnsi="Times New Roman" w:eastAsia="仿宋_GB2312" w:cs="Times New Roman"/>
          <w:sz w:val="32"/>
          <w:szCs w:val="32"/>
          <w:highlight w:val="none"/>
          <w:lang w:eastAsia="zh-Hans"/>
        </w:rPr>
        <w:t>是指社会保险缴费、一般公共预算安排和其他方式募集的资金，专项用于社会保险的收支预算。</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财政收支平衡：</w:t>
      </w:r>
      <w:r>
        <w:rPr>
          <w:rFonts w:hint="default" w:ascii="Times New Roman" w:hAnsi="Times New Roman" w:eastAsia="仿宋_GB2312" w:cs="Times New Roman"/>
          <w:sz w:val="32"/>
          <w:szCs w:val="32"/>
          <w:highlight w:val="none"/>
          <w:lang w:eastAsia="zh-Hans"/>
        </w:rPr>
        <w:t>按照《中华人民共和国预算法》规定：“地方各级预算按照量入为出、收支平衡的原则编制，除本法另有规定外，不列赤字”。</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调入资金：</w:t>
      </w:r>
      <w:r>
        <w:rPr>
          <w:rFonts w:hint="default" w:ascii="Times New Roman" w:hAnsi="Times New Roman" w:eastAsia="仿宋_GB2312" w:cs="Times New Roman"/>
          <w:sz w:val="32"/>
          <w:szCs w:val="32"/>
          <w:highlight w:val="none"/>
          <w:lang w:eastAsia="zh-Hans"/>
        </w:rPr>
        <w:t>是指各级财政为平衡当年一般公共预算收支，从政府性基金预算、国有资本经营预算和其他渠道调入的资金。</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民生支出：</w:t>
      </w:r>
      <w:r>
        <w:rPr>
          <w:rFonts w:hint="default" w:ascii="Times New Roman" w:hAnsi="Times New Roman" w:eastAsia="仿宋_GB2312" w:cs="Times New Roman"/>
          <w:sz w:val="32"/>
          <w:szCs w:val="32"/>
          <w:highlight w:val="none"/>
          <w:lang w:eastAsia="zh-Hans"/>
        </w:rPr>
        <w:t>是公共财政在一定阶段的实施理念或表现形式，是在整个财政支出安排中，通过制度性合理安排，实现用于教育、卫生、就业、社会保障、农林水、生态环境保护、住房</w:t>
      </w:r>
      <w:r>
        <w:rPr>
          <w:rFonts w:hint="eastAsia" w:eastAsia="仿宋_GB2312" w:cs="Times New Roman"/>
          <w:sz w:val="32"/>
          <w:szCs w:val="32"/>
          <w:highlight w:val="none"/>
          <w:lang w:eastAsia="zh-CN"/>
        </w:rPr>
        <w:t>保障民生</w:t>
      </w:r>
      <w:r>
        <w:rPr>
          <w:rFonts w:hint="default" w:ascii="Times New Roman" w:hAnsi="Times New Roman" w:eastAsia="仿宋_GB2312" w:cs="Times New Roman"/>
          <w:sz w:val="32"/>
          <w:szCs w:val="32"/>
          <w:highlight w:val="none"/>
          <w:lang w:eastAsia="zh-Hans"/>
        </w:rPr>
        <w:t>项目，以引导社会公平正义、保</w:t>
      </w:r>
      <w:r>
        <w:rPr>
          <w:rFonts w:hint="eastAsia" w:eastAsia="仿宋_GB2312" w:cs="Times New Roman"/>
          <w:sz w:val="32"/>
          <w:szCs w:val="32"/>
          <w:highlight w:val="none"/>
          <w:lang w:eastAsia="zh-CN"/>
        </w:rPr>
        <w:t>障和</w:t>
      </w:r>
      <w:r>
        <w:rPr>
          <w:rFonts w:hint="default" w:ascii="Times New Roman" w:hAnsi="Times New Roman" w:eastAsia="仿宋_GB2312" w:cs="Times New Roman"/>
          <w:sz w:val="32"/>
          <w:szCs w:val="32"/>
          <w:highlight w:val="none"/>
          <w:lang w:eastAsia="zh-Hans"/>
        </w:rPr>
        <w:t>提高人民生活。</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债务限额管理：</w:t>
      </w:r>
      <w:r>
        <w:rPr>
          <w:rFonts w:hint="default" w:ascii="Times New Roman" w:hAnsi="Times New Roman" w:eastAsia="仿宋_GB2312" w:cs="Times New Roman"/>
          <w:sz w:val="32"/>
          <w:szCs w:val="32"/>
          <w:highlight w:val="none"/>
          <w:lang w:eastAsia="zh-Hans"/>
        </w:rPr>
        <w:t>根据预算法和国务院关于加强政府性债务管理的规定，中央对地方政府债务余额实行限额管理，地方政府债务余额不得突破批准的限额。地方政府在国务院批准的限额内提出</w:t>
      </w:r>
      <w:r>
        <w:rPr>
          <w:rFonts w:hint="eastAsia" w:eastAsia="仿宋_GB2312" w:cs="Times New Roman"/>
          <w:sz w:val="32"/>
          <w:szCs w:val="32"/>
          <w:highlight w:val="none"/>
          <w:lang w:eastAsia="zh-CN"/>
        </w:rPr>
        <w:t>地方政府债务限额</w:t>
      </w:r>
      <w:r>
        <w:rPr>
          <w:rFonts w:hint="default" w:ascii="Times New Roman" w:hAnsi="Times New Roman" w:eastAsia="仿宋_GB2312" w:cs="Times New Roman"/>
          <w:sz w:val="32"/>
          <w:szCs w:val="32"/>
          <w:highlight w:val="none"/>
          <w:lang w:eastAsia="zh-Hans"/>
        </w:rPr>
        <w:t>，报同级人大常委会批准，并在批准的限额内举借和偿还债务。</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政府一般债券：</w:t>
      </w:r>
      <w:r>
        <w:rPr>
          <w:rFonts w:hint="default" w:ascii="Times New Roman" w:hAnsi="Times New Roman" w:eastAsia="仿宋_GB2312" w:cs="Times New Roman"/>
          <w:sz w:val="32"/>
          <w:szCs w:val="32"/>
          <w:highlight w:val="none"/>
          <w:lang w:eastAsia="zh-Hans"/>
        </w:rPr>
        <w:t>是指没有收益的公益性事业发展融资，由地方政府发行主要以一般公共预算资金偿还的政府债券。</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政府专项债券：</w:t>
      </w:r>
      <w:r>
        <w:rPr>
          <w:rFonts w:hint="default" w:ascii="Times New Roman" w:hAnsi="Times New Roman" w:eastAsia="仿宋_GB2312" w:cs="Times New Roman"/>
          <w:sz w:val="32"/>
          <w:szCs w:val="32"/>
          <w:highlight w:val="none"/>
          <w:lang w:eastAsia="zh-Hans"/>
        </w:rPr>
        <w:t>是指有一定收益的公益性事业发展融资，由地方政府发行主要以对应的政府性基金预算或专项收入偿还的政府债券。</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再融资债券：</w:t>
      </w:r>
      <w:r>
        <w:rPr>
          <w:rFonts w:hint="default" w:ascii="Times New Roman" w:hAnsi="Times New Roman" w:eastAsia="仿宋_GB2312" w:cs="Times New Roman"/>
          <w:sz w:val="32"/>
          <w:szCs w:val="32"/>
          <w:highlight w:val="none"/>
          <w:lang w:eastAsia="zh-Hans"/>
        </w:rPr>
        <w:t>是指省、自治区、直辖市为偿还到期债券本金而发行的地方政府债券，即“借新还旧”债券。</w:t>
      </w:r>
    </w:p>
    <w:p>
      <w:pPr>
        <w:spacing w:line="560" w:lineRule="exact"/>
        <w:ind w:firstLine="643" w:firstLineChars="200"/>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b/>
          <w:bCs/>
          <w:sz w:val="32"/>
          <w:szCs w:val="32"/>
          <w:highlight w:val="none"/>
          <w:lang w:eastAsia="zh-Hans"/>
        </w:rPr>
        <w:t>财政信息系统一体化：</w:t>
      </w:r>
      <w:r>
        <w:rPr>
          <w:rFonts w:hint="default" w:ascii="Times New Roman" w:hAnsi="Times New Roman" w:eastAsia="仿宋_GB2312" w:cs="Times New Roman"/>
          <w:sz w:val="32"/>
          <w:szCs w:val="32"/>
          <w:highlight w:val="none"/>
          <w:lang w:eastAsia="zh-Hans"/>
        </w:rPr>
        <w:t>是指财政部组织制定全国统一的预算管理业务规范和技术标准，将预算编制、预算执行、决算和财务报告等业务环节按一个整体进行整合规范，贯通各级财政预算管理。各地由省级财政部门统一按照业务规范和技术标准建设一体化系统，将市县级预算数据集中到省级财政，并与财政部联网对接，实现关联业务间、上下级财政间、</w:t>
      </w:r>
      <w:r>
        <w:rPr>
          <w:rFonts w:hint="eastAsia" w:eastAsia="仿宋_GB2312" w:cs="Times New Roman"/>
          <w:sz w:val="32"/>
          <w:szCs w:val="32"/>
          <w:highlight w:val="none"/>
          <w:lang w:eastAsia="zh-CN"/>
        </w:rPr>
        <w:t>财政部门</w:t>
      </w:r>
      <w:r>
        <w:rPr>
          <w:rFonts w:hint="default" w:ascii="Times New Roman" w:hAnsi="Times New Roman" w:eastAsia="仿宋_GB2312" w:cs="Times New Roman"/>
          <w:sz w:val="32"/>
          <w:szCs w:val="32"/>
          <w:highlight w:val="none"/>
          <w:lang w:eastAsia="zh-Hans"/>
        </w:rPr>
        <w:t>和单位间的工作协同和数据衔接，动态反映各级财政部门预算管理情况，并通过嵌入系统的控制规则规范预算管理和硬化预算约束。</w:t>
      </w:r>
    </w:p>
    <w:p>
      <w:pPr>
        <w:pStyle w:val="2"/>
        <w:rPr>
          <w:rFonts w:hint="default" w:ascii="Times New Roman" w:hAnsi="Times New Roman" w:eastAsia="仿宋_GB2312" w:cs="Times New Roman"/>
          <w:sz w:val="32"/>
          <w:szCs w:val="32"/>
          <w:highlight w:val="none"/>
          <w:lang w:eastAsia="zh-Hans"/>
        </w:rPr>
      </w:pPr>
    </w:p>
    <w:p>
      <w:pPr>
        <w:pStyle w:val="2"/>
        <w:rPr>
          <w:rFonts w:hint="default" w:ascii="Times New Roman" w:hAnsi="Times New Roman" w:eastAsia="仿宋_GB2312" w:cs="Times New Roman"/>
          <w:sz w:val="32"/>
          <w:szCs w:val="32"/>
          <w:highlight w:val="none"/>
          <w:lang w:eastAsia="zh-Hans"/>
        </w:rPr>
      </w:pPr>
    </w:p>
    <w:p>
      <w:pPr>
        <w:pStyle w:val="2"/>
        <w:rPr>
          <w:rFonts w:hint="default" w:ascii="Times New Roman" w:hAnsi="Times New Roman" w:eastAsia="仿宋_GB2312" w:cs="Times New Roman"/>
          <w:sz w:val="32"/>
          <w:szCs w:val="32"/>
          <w:highlight w:val="none"/>
          <w:lang w:eastAsia="zh-Hans"/>
        </w:rPr>
      </w:pPr>
    </w:p>
    <w:p>
      <w:pPr>
        <w:pStyle w:val="2"/>
        <w:rPr>
          <w:rFonts w:hint="default" w:ascii="Times New Roman" w:hAnsi="Times New Roman" w:eastAsia="仿宋_GB2312" w:cs="Times New Roman"/>
          <w:sz w:val="32"/>
          <w:szCs w:val="32"/>
          <w:highlight w:val="none"/>
          <w:lang w:eastAsia="zh-Hans"/>
        </w:rPr>
        <w:sectPr>
          <w:footerReference r:id="rId5" w:type="default"/>
          <w:pgSz w:w="11906" w:h="16838"/>
          <w:pgMar w:top="1962" w:right="1474" w:bottom="1848" w:left="1587" w:header="851" w:footer="992" w:gutter="0"/>
          <w:cols w:space="720"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第二部分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“四本”预算公开表</w:t>
      </w:r>
    </w:p>
    <w:p>
      <w:pPr>
        <w:keepNext w:val="0"/>
        <w:keepLines w:val="0"/>
        <w:pageBreakBefore w:val="0"/>
        <w:numPr>
          <w:ilvl w:val="0"/>
          <w:numId w:val="0"/>
        </w:numPr>
        <w:tabs>
          <w:tab w:val="left" w:pos="2148"/>
        </w:tabs>
        <w:kinsoku/>
        <w:wordWrap/>
        <w:overflowPunct/>
        <w:topLinePunct w:val="0"/>
        <w:autoSpaceDE/>
        <w:autoSpaceDN/>
        <w:bidi w:val="0"/>
        <w:adjustRightInd/>
        <w:snapToGrid/>
        <w:spacing w:before="190" w:line="560" w:lineRule="exact"/>
        <w:ind w:right="3265" w:rightChars="0" w:firstLine="643" w:firstLineChars="200"/>
        <w:jc w:val="both"/>
        <w:textAlignment w:val="auto"/>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一、一般公共预算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8"/>
        <w:tblW w:w="8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3"/>
        <w:gridCol w:w="2523"/>
        <w:gridCol w:w="1868"/>
        <w:gridCol w:w="1869"/>
        <w:gridCol w:w="16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3" w:hRule="atLeast"/>
        </w:trPr>
        <w:tc>
          <w:tcPr>
            <w:tcW w:w="993"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表1</w:t>
            </w:r>
          </w:p>
        </w:tc>
        <w:tc>
          <w:tcPr>
            <w:tcW w:w="2523"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86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86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64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trPr>
        <w:tc>
          <w:tcPr>
            <w:tcW w:w="890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8"/>
                <w:szCs w:val="28"/>
                <w:highlight w:val="none"/>
                <w:u w:val="none"/>
              </w:rPr>
            </w:pPr>
            <w:r>
              <w:rPr>
                <w:rFonts w:hint="eastAsia" w:ascii="宋体" w:hAnsi="宋体" w:eastAsia="宋体" w:cs="宋体"/>
                <w:b/>
                <w:bCs/>
                <w:i w:val="0"/>
                <w:color w:val="000000"/>
                <w:kern w:val="0"/>
                <w:sz w:val="28"/>
                <w:szCs w:val="28"/>
                <w:highlight w:val="none"/>
                <w:u w:val="none"/>
                <w:lang w:val="en-US" w:eastAsia="zh-CN" w:bidi="ar"/>
              </w:rPr>
              <w:t>2026年高昌区一般公共预算收入表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993" w:type="dxa"/>
            <w:tcBorders>
              <w:top w:val="nil"/>
              <w:left w:val="nil"/>
              <w:bottom w:val="nil"/>
              <w:right w:val="nil"/>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4"/>
                <w:szCs w:val="24"/>
                <w:highlight w:val="none"/>
                <w:u w:val="none"/>
              </w:rPr>
            </w:pPr>
          </w:p>
        </w:tc>
        <w:tc>
          <w:tcPr>
            <w:tcW w:w="2523"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highlight w:val="none"/>
                <w:u w:val="none"/>
              </w:rPr>
            </w:pPr>
          </w:p>
        </w:tc>
        <w:tc>
          <w:tcPr>
            <w:tcW w:w="1868"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highlight w:val="none"/>
                <w:u w:val="none"/>
              </w:rPr>
            </w:pPr>
          </w:p>
        </w:tc>
        <w:tc>
          <w:tcPr>
            <w:tcW w:w="1869"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highlight w:val="none"/>
                <w:u w:val="none"/>
              </w:rPr>
            </w:pPr>
          </w:p>
        </w:tc>
        <w:tc>
          <w:tcPr>
            <w:tcW w:w="164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科目编码</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项   目</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2025</w:t>
            </w:r>
            <w:r>
              <w:rPr>
                <w:rStyle w:val="10"/>
                <w:rFonts w:hint="eastAsia" w:asciiTheme="minorEastAsia" w:hAnsiTheme="minorEastAsia" w:eastAsiaTheme="minorEastAsia" w:cstheme="minorEastAsia"/>
                <w:b/>
                <w:bCs/>
                <w:sz w:val="22"/>
                <w:szCs w:val="22"/>
                <w:highlight w:val="none"/>
                <w:lang w:val="en-US" w:eastAsia="zh-CN" w:bidi="ar"/>
              </w:rPr>
              <w:t>年预算数</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2026</w:t>
            </w:r>
            <w:r>
              <w:rPr>
                <w:rStyle w:val="10"/>
                <w:rFonts w:hint="eastAsia" w:asciiTheme="minorEastAsia" w:hAnsiTheme="minorEastAsia" w:eastAsiaTheme="minorEastAsia" w:cstheme="minorEastAsia"/>
                <w:b/>
                <w:bCs/>
                <w:sz w:val="22"/>
                <w:szCs w:val="22"/>
                <w:highlight w:val="none"/>
                <w:lang w:val="en-US" w:eastAsia="zh-CN" w:bidi="ar"/>
              </w:rPr>
              <w:t>年预算数</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比上年预算数增（减）%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101</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一、税收收入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72208</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83825</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10101</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增值税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19589</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18597</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10104</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企业所得税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4463</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4640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10106</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个人所得税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1125</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1685</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10107</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资源税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6355</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6750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10109</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城市维护建设税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4800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6201</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10110</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房产税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4400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7170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10111</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印花税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2500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3196</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10112</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城镇土地使用税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18776</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18000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10113</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土地增值税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3300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4786</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10114</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车船税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3200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10118</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耕地占用税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4000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10119</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契税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3700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5500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10120</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烟叶税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10121</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环境保护税</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10199</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其他税收收入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103</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二、非税收入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54227</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55884</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10302</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专项收入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7634</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15000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10304</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行政事业性收费收入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2690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5400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10305</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罚没收入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2466</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10306</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国有资本经营收入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9"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10307</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国有资源（资产）有偿使用收入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37320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24460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10308</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捐赠收入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51</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9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10309</w:t>
            </w:r>
          </w:p>
        </w:tc>
        <w:tc>
          <w:tcPr>
            <w:tcW w:w="252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政府住房基金收入</w:t>
            </w:r>
          </w:p>
        </w:tc>
        <w:tc>
          <w:tcPr>
            <w:tcW w:w="186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3026</w:t>
            </w:r>
          </w:p>
        </w:tc>
        <w:tc>
          <w:tcPr>
            <w:tcW w:w="186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6124</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10399</w:t>
            </w: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其他收入</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1040</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200</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Theme="minorEastAsia" w:hAnsiTheme="minorEastAsia" w:eastAsiaTheme="minorEastAsia" w:cstheme="minorEastAsia"/>
                <w:i w:val="0"/>
                <w:color w:val="000000"/>
                <w:kern w:val="0"/>
                <w:sz w:val="22"/>
                <w:szCs w:val="22"/>
                <w:highlight w:val="none"/>
                <w:u w:val="none"/>
                <w:lang w:val="en-US" w:eastAsia="zh-CN" w:bidi="ar"/>
              </w:rPr>
            </w:pPr>
          </w:p>
        </w:tc>
        <w:tc>
          <w:tcPr>
            <w:tcW w:w="25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一般公共预算收入合计</w:t>
            </w:r>
          </w:p>
        </w:tc>
        <w:tc>
          <w:tcPr>
            <w:tcW w:w="18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126435</w:t>
            </w:r>
          </w:p>
        </w:tc>
        <w:tc>
          <w:tcPr>
            <w:tcW w:w="18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139709</w:t>
            </w:r>
          </w:p>
        </w:tc>
        <w:tc>
          <w:tcPr>
            <w:tcW w:w="16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-10.50%</w:t>
            </w:r>
          </w:p>
        </w:tc>
      </w:tr>
    </w:tbl>
    <w:p>
      <w:pPr>
        <w:keepNext w:val="0"/>
        <w:keepLines w:val="0"/>
        <w:pageBreakBefore w:val="0"/>
        <w:kinsoku/>
        <w:wordWrap/>
        <w:overflowPunct/>
        <w:topLinePunct w:val="0"/>
        <w:autoSpaceDE/>
        <w:autoSpaceDN/>
        <w:bidi w:val="0"/>
        <w:adjustRightInd/>
        <w:snapToGrid/>
        <w:rPr>
          <w:rFonts w:hint="default" w:ascii="Times New Roman" w:hAnsi="Times New Roman" w:cs="Times New Roman"/>
          <w:highlight w:val="none"/>
        </w:rPr>
      </w:pPr>
      <w:r>
        <w:rPr>
          <w:rFonts w:hint="default" w:ascii="Times New Roman" w:hAnsi="Times New Roman" w:cs="Times New Roman"/>
          <w:highlight w:val="none"/>
        </w:rPr>
        <w:br w:type="page"/>
      </w:r>
    </w:p>
    <w:p>
      <w:pPr>
        <w:pStyle w:val="2"/>
        <w:rPr>
          <w:rFonts w:hint="default"/>
          <w:highlight w:val="none"/>
        </w:rPr>
      </w:pPr>
    </w:p>
    <w:tbl>
      <w:tblPr>
        <w:tblStyle w:val="8"/>
        <w:tblW w:w="9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8"/>
        <w:gridCol w:w="3288"/>
        <w:gridCol w:w="1714"/>
        <w:gridCol w:w="1715"/>
        <w:gridCol w:w="13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1" w:hRule="atLeast"/>
        </w:trPr>
        <w:tc>
          <w:tcPr>
            <w:tcW w:w="998"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2"/>
                <w:szCs w:val="22"/>
                <w:highlight w:val="none"/>
                <w:u w:val="none"/>
                <w:lang w:val="en-US" w:eastAsia="zh-CN" w:bidi="ar"/>
              </w:rPr>
              <w:t>表2</w:t>
            </w:r>
          </w:p>
        </w:tc>
        <w:tc>
          <w:tcPr>
            <w:tcW w:w="328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highlight w:val="none"/>
                <w:u w:val="none"/>
              </w:rPr>
            </w:pPr>
          </w:p>
        </w:tc>
        <w:tc>
          <w:tcPr>
            <w:tcW w:w="1714"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71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34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69" w:hRule="atLeast"/>
        </w:trPr>
        <w:tc>
          <w:tcPr>
            <w:tcW w:w="906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8"/>
                <w:szCs w:val="28"/>
                <w:highlight w:val="none"/>
                <w:u w:val="none"/>
              </w:rPr>
            </w:pPr>
            <w:r>
              <w:rPr>
                <w:rFonts w:hint="eastAsia" w:asciiTheme="majorEastAsia" w:hAnsiTheme="majorEastAsia" w:eastAsiaTheme="majorEastAsia" w:cstheme="majorEastAsia"/>
                <w:b/>
                <w:bCs/>
                <w:i w:val="0"/>
                <w:color w:val="000000"/>
                <w:kern w:val="0"/>
                <w:sz w:val="28"/>
                <w:szCs w:val="28"/>
                <w:highlight w:val="none"/>
                <w:u w:val="none"/>
                <w:lang w:val="en-US" w:eastAsia="zh-CN" w:bidi="ar"/>
              </w:rPr>
              <w:t>2026年高昌区一般公共预算支出表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1" w:hRule="atLeast"/>
        </w:trPr>
        <w:tc>
          <w:tcPr>
            <w:tcW w:w="998" w:type="dxa"/>
            <w:tcBorders>
              <w:top w:val="nil"/>
              <w:left w:val="nil"/>
              <w:bottom w:val="nil"/>
              <w:right w:val="nil"/>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3288" w:type="dxa"/>
            <w:tcBorders>
              <w:top w:val="nil"/>
              <w:left w:val="nil"/>
              <w:bottom w:val="nil"/>
              <w:right w:val="nil"/>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2"/>
                <w:szCs w:val="22"/>
                <w:highlight w:val="none"/>
                <w:u w:val="none"/>
              </w:rPr>
            </w:pPr>
          </w:p>
        </w:tc>
        <w:tc>
          <w:tcPr>
            <w:tcW w:w="1714"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715"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345"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2"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科目编码</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项   目</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2025年预算数</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2026年预算数</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比上年预算数增（减）%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一般公共服务支出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44369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36908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人大事务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394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372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2010101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2010104</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人大会议</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2010106</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人大监督</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2010107</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人大代表履职能力提升</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2010108</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代表工作</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2010199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其他人大事务支出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20102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政协事务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320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298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2010201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2010299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其他政协事务支出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20103</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政府办公厅（室）及相关机构事务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27417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20293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2010301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12726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14136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2010302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一般行政管理事务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2010350</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691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2010399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其他政府办公厅（室）及相关机构事务支出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14140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5465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20104</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发展与改革事务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702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583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2010401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2010450</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2010499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其他发展与改革事务支出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353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20105</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统计信息事务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2010501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2010508</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统计抽样调查</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20106</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财政事务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625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599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2010601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475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2010699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其他财政事务支出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20108</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审计事务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2010801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20111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纪检监察事务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1283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1362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2011101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1142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1333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2011199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其他纪检监察事务支出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20113</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商贸事务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2011301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20126</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档案事务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2012604</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档案馆</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20128</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民主党派及工商联事务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2012801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20129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群众团体事务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332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2012901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2012950</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20131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党委办公厅（室）及相关机构事务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2744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4379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2013101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2694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2869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2013102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一般行政管理事务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20132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组织事务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7637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5434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2013201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5480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4294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2013202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一般行政管理事务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1106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2013299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其他组织事务支出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1051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687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20133</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宣传事务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2013301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2013399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其他宣传事务支出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20134</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统战事务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942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941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2013401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2013404</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ZJ事务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648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597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20137</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网信事务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2013701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20138</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市场监督管理事务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955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1077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2013801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861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2013802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一般行政管理事务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2013812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药品事务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2013815</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质量安全监管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2013816</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食品安全监管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2013899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其他市场监督管理事务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722.22%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20139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社会工作事务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112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2013901</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2013902</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一般行政管理事务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20140</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信访事务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b/>
                <w:bCs/>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2014004</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信访业务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其他一般公共服务支出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2019999</w:t>
            </w:r>
          </w:p>
        </w:tc>
        <w:tc>
          <w:tcPr>
            <w:tcW w:w="328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其他一般公共服务支出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国防支出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1473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14630.00%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20306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国防动员</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1473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14630.00%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2030601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兵役征集</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2030607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民兵</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公共安全支出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33906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38809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20402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公安</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33138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37900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2040201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20144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30051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2040220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执法办案</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2040299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其他公安支出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12898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4703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20406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司法</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767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901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2040601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539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677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2040699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其他司法支出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20499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其他公共安全支出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2049999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其他公共安全支出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教育支出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71655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93385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20501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教育管理事务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1598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945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1095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945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其他教育管理事务支出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20502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普通教育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69102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90951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学前教育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5745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6597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2050202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小学教育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29781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43215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2050203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初中教育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27177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34036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2050204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高中教育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4103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6919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2050299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其他普通教育支出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2296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20503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职业教育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840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1348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2050302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中等职业教育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494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1348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2050303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技校教育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20507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特殊教育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b/>
                <w:bCs/>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2050799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其他特殊教育支出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进修及培训</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2050802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干部教育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科学技术支出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20601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科学技术管理事务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2060101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20602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基础研究</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2060208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科技人才队伍建设</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20604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技术研究与开发</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2060404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科技成果转化与扩散</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20607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科学技术普及</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2060702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科普活动</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文化旅游体育与传媒支出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3432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3420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20701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文化和旅游</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1229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1718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414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2070109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群众文化</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2070114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文化和旅游管理事务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486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569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其他文化和旅游支出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590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20702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文物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293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2070206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历史名城与古迹</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20703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体育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2070399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其他体育支出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20708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广播电视</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296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2070808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广播电视事务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2070899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其他广播电视支出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20799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其他文化旅游体育与传媒支出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934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1026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2079999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其他文化旅游体育与传媒支出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934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1026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社会保障和就业支出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46279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53127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人力资源和社会保障管理事务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1466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1754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542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2080109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社会保险经办机构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2080111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公共就业服务和职业技能鉴定机构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519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2080150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其他人力资源和社会保障管理事务支出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民政管理事务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437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432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行政事业单位养老支出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25654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29588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2080501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行政单位离退休</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840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605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2080502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事业单位离退休</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1666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2080505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机关事业单位基本养老保险缴费支出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15934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18209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2080506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机关事业单位职业年金缴费支出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1697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2208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2080507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对机关事业单位基本养老保险基金的补助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5128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6900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就业补助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2796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3285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2080701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就业创业服务补助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2080702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职业培训补贴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2080704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社会保险补贴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1181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1864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2080705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公益性岗位补贴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781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765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2080711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就业见习补贴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386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2080713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求职和创业补贴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2080799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其他就业补助支出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抚恤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3132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2596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2080801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死亡抚恤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2080802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伤残抚恤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786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731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2080805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义务兵优待</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365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20809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TY安置</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313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296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2080901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TYSB安置</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2080904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TYSB管理教育</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2080905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JD转业干部安置</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20810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社会福利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418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635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2081001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儿童福利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2081002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老年福利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573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2081099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其他社会福利支出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20811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残疾人事业</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1128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1325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2081104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残疾人康复</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2081107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残疾人生活和护理补贴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873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1022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20816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红十字事业</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2081650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2081699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其他红十字事业支出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20819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最低生活保障</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8449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8054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2081901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城市最低生活保障金支出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662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680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2081902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农村最低生活保障金支出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7787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7374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20820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临时救助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2082001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临时救助支出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2082002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流浪乞讨人员救助支出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20821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特困人员救助供养</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城市特困人员救助供养支出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2082102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农村特困人员救助供养支出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财政对基本养老保险基金的补助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1947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4638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2082601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财政对企业职工基本养老保险基金的补助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2082602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财政对城乡居民基本养老保险基金的补助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1762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4388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20828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退役军人管理事务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2082801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卫生健康支出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22845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27407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卫生健康管理事务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489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467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438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其他卫生健康管理事务支出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公立医院</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2052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综合医院</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基层医疗卫生机构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4097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4568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2100302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乡镇卫生院</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3611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4362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2100399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其他基层医疗卫生机构支出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486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公共卫生</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6177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6292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2100401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疾病预防控制机构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676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729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2100403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妇幼保健机构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615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2100408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基本公共卫生服务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3125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2851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2100409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重大公共卫生服务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2100410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突发公共卫生事件应急处置</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2100499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其他公共卫生支出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565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JHSY事务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1455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1373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2100717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JHSY服务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1455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1373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21011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行政事业单位医疗</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7232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8448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行政单位医疗</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2502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3220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2101102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事业单位医疗</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4262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4676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2101103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公务员医疗补助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403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21012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财政对基本医疗保险基金的补助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1096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1201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3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2101202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财政对城乡居民基本医疗保险基金的补助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1096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1201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21014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优抚对象医疗</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2101401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优抚对象医疗补助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21015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医疗保障管理事务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2101501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2101506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医疗保障经办事务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2101550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节能环保支出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7837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7263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21103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污染防治</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5222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4123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2110302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水体</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5222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4123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21104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自然生态保护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1773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2261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2110401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生态保护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1773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21105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森林保护修复</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665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2110501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森林管护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537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665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21107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风沙荒漠治理</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2110799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其他风沙荒漠治理支出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21110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能源节约利用</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2111001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能源节约利用</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城乡社区支出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14453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25904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城乡社区管理事务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7495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6471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6414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5229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2120104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城管执法</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589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737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2120107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市政公用行业市场监管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2120109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住宅建设与房地产市场监管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其他城乡社区管理事务支出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21203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城乡社区公共设施</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4473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16272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263.78%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2120303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小城镇基础设施建设</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1315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8890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576.05%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2120399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其他城乡社区公共设施支出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3158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7382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21205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城乡社区环境卫生</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2485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3161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2120501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城乡社区环境卫生</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2485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3161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农林水支出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60941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72431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农业农村</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15959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12480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1092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1224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1105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1212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2130109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农产品质量安全</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2130119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防灾救灾</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2130122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农业生产发展</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387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2130124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农村合作经济</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2130135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农业生态资源保护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2164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1795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2130153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耕地建设与利用</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10687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6845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林业和草原</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3242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2130202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一般行政管理事务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2130204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565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617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2130221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产业化管理</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448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583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2130238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退耕还林还草</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2130299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其他林业和草原支出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1688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水利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18644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39694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112.90%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661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744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水利工程建设</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5051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8296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水利工程运行与维护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2130311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水资源节约管理与保护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2130314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防汛</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2130319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江河湖库水系综合整治</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3748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4563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2130335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农村供水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2130399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其他水利支出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8860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20969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巩固脱贫攻坚成果衔接乡村振兴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22677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15564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2130504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农村基础设施建设</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663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1339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2130505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生产发展</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1046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5942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30"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2130599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其他巩固脱贫攻坚成果衔接乡村振兴支出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20968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8283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农村综合改革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112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1808.04%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2130701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对村级公益事业建设的补助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571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409.82%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21308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普惠金融发展支出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417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2130803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农业保险保费补贴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381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交通运输支出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8401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13319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21401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公路水路运输</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6283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9537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2140101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942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698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2140104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公路建设</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4285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7719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2140106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公路养护</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896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2140199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其他公路水路运输支出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21499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其他交通运输支出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2118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182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2149999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其他交通运输支出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2118</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资源勘探工业信息等支出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29434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33090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21501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资源勘探开发</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2150199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其他资源勘探业支出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21502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制造业</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6989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12540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2150204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纺织业</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6989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12311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21507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国有资产监管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22345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20450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2150701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392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430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2150799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其他国有资产监管支出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21953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20020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商业服务业等支出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21602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商业流通事务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2160250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2160299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其他商业流通事务支出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21606</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涉外发展服务支出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b/>
                <w:bCs/>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2160699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其他涉外发展服务支出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自然资源海洋气象等支出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2451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22001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自然资源事务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679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2417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255.96%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2200101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2200150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事业运行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223</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22005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气象事务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2200504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气象事业机构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住房保障支出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30410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26989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保障性安居工程支出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17584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19018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2210103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棚户区改造</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5291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4572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2210104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少数民族地区游牧民定居工程</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2210105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农村危房改造</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2210108</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老旧小区改造</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12104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10335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22102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住房改革支出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12826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7971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2210201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住房公积金</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12826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7971</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粮油物资储备支出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粮油物资事务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2220115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粮食风险基金</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灾害防治及应急管理支出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824</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1379</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22401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应急管理事务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466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2240101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行政运行</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366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2240199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其他应急管理支出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22402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消防救援事务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2240204</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消防应急救援</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22405</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地震事务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2240550</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地震事业机构</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22407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自然灾害救灾及恢复重建支出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b/>
                <w:bCs/>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2240703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自然灾害救灾补助</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227</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预备费</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4803</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4837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其他支出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50155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6065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22902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年初预留</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32156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5738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2290201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年初预留</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32156</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5738</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22999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其他支出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17999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2299999</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17999</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327</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债务付息支出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9687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9855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23203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地方政府一般债务付息支出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9687</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9855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2320301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地方政府一般债券付息支出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7695</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8435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2320302</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地方政府向外国政府借款付息支出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1642</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2320303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地方政府向国际组织借款付息支出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1235</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债务发行费用支出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23303</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地方政府一般债务发行费用支出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2330301</w:t>
            </w:r>
          </w:p>
        </w:tc>
        <w:tc>
          <w:tcPr>
            <w:tcW w:w="32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地方政府一般债务发行费用支出</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6" w:hRule="atLeast"/>
        </w:trPr>
        <w:tc>
          <w:tcPr>
            <w:tcW w:w="428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一般公共预算支出合计</w:t>
            </w:r>
          </w:p>
        </w:tc>
        <w:tc>
          <w:tcPr>
            <w:tcW w:w="17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440661</w:t>
            </w:r>
          </w:p>
        </w:tc>
        <w:tc>
          <w:tcPr>
            <w:tcW w:w="1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458536</w:t>
            </w:r>
          </w:p>
        </w:tc>
        <w:tc>
          <w:tcPr>
            <w:tcW w:w="1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4.06%</w:t>
            </w:r>
          </w:p>
        </w:tc>
      </w:tr>
    </w:tbl>
    <w:p>
      <w:pPr>
        <w:rPr>
          <w:rFonts w:hint="default" w:ascii="Times New Roman" w:hAnsi="Times New Roman" w:cs="Times New Roman"/>
          <w:highlight w:val="none"/>
        </w:rPr>
      </w:pPr>
    </w:p>
    <w:tbl>
      <w:tblPr>
        <w:tblStyle w:val="8"/>
        <w:tblW w:w="88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84"/>
        <w:gridCol w:w="2500"/>
        <w:gridCol w:w="1852"/>
        <w:gridCol w:w="1852"/>
        <w:gridCol w:w="16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69" w:hRule="atLeast"/>
        </w:trPr>
        <w:tc>
          <w:tcPr>
            <w:tcW w:w="984"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2"/>
                <w:szCs w:val="22"/>
                <w:highlight w:val="none"/>
                <w:u w:val="none"/>
                <w:lang w:val="en-US" w:eastAsia="zh-CN" w:bidi="ar"/>
              </w:rPr>
              <w:t>表3</w:t>
            </w:r>
          </w:p>
        </w:tc>
        <w:tc>
          <w:tcPr>
            <w:tcW w:w="250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85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85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63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trPr>
        <w:tc>
          <w:tcPr>
            <w:tcW w:w="882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8"/>
                <w:szCs w:val="28"/>
                <w:highlight w:val="none"/>
                <w:u w:val="none"/>
              </w:rPr>
            </w:pPr>
            <w:r>
              <w:rPr>
                <w:rFonts w:hint="eastAsia" w:asciiTheme="majorEastAsia" w:hAnsiTheme="majorEastAsia" w:eastAsiaTheme="majorEastAsia" w:cstheme="majorEastAsia"/>
                <w:b/>
                <w:bCs/>
                <w:i w:val="0"/>
                <w:color w:val="000000"/>
                <w:kern w:val="0"/>
                <w:sz w:val="28"/>
                <w:szCs w:val="28"/>
                <w:highlight w:val="none"/>
                <w:u w:val="none"/>
                <w:lang w:val="en-US" w:eastAsia="zh-CN" w:bidi="ar"/>
              </w:rPr>
              <w:t>2026年高昌区本级一般公共预算收入表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1" w:hRule="atLeast"/>
        </w:trPr>
        <w:tc>
          <w:tcPr>
            <w:tcW w:w="984" w:type="dxa"/>
            <w:tcBorders>
              <w:top w:val="nil"/>
              <w:left w:val="nil"/>
              <w:bottom w:val="nil"/>
              <w:right w:val="nil"/>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4"/>
                <w:szCs w:val="24"/>
                <w:highlight w:val="none"/>
                <w:u w:val="none"/>
              </w:rPr>
            </w:pPr>
          </w:p>
        </w:tc>
        <w:tc>
          <w:tcPr>
            <w:tcW w:w="2500"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highlight w:val="none"/>
                <w:u w:val="none"/>
              </w:rPr>
            </w:pPr>
          </w:p>
        </w:tc>
        <w:tc>
          <w:tcPr>
            <w:tcW w:w="1852"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highlight w:val="none"/>
                <w:u w:val="none"/>
              </w:rPr>
            </w:pPr>
          </w:p>
        </w:tc>
        <w:tc>
          <w:tcPr>
            <w:tcW w:w="1852"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highlight w:val="none"/>
                <w:u w:val="none"/>
              </w:rPr>
            </w:pPr>
          </w:p>
        </w:tc>
        <w:tc>
          <w:tcPr>
            <w:tcW w:w="1632"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3"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color w:val="000000"/>
                <w:kern w:val="0"/>
                <w:sz w:val="22"/>
                <w:szCs w:val="22"/>
                <w:highlight w:val="none"/>
                <w:u w:val="none"/>
                <w:lang w:val="en-US" w:eastAsia="zh-CN" w:bidi="ar"/>
              </w:rPr>
              <w:t>科目编码</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项   目</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color w:val="000000"/>
                <w:kern w:val="0"/>
                <w:sz w:val="22"/>
                <w:szCs w:val="22"/>
                <w:highlight w:val="none"/>
                <w:u w:val="none"/>
                <w:lang w:val="en-US" w:eastAsia="zh-CN" w:bidi="ar"/>
              </w:rPr>
              <w:t>2025</w:t>
            </w: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年预算数</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color w:val="000000"/>
                <w:kern w:val="0"/>
                <w:sz w:val="22"/>
                <w:szCs w:val="22"/>
                <w:highlight w:val="none"/>
                <w:u w:val="none"/>
                <w:lang w:val="en-US" w:eastAsia="zh-CN" w:bidi="ar"/>
              </w:rPr>
              <w:t>2026</w:t>
            </w:r>
            <w:r>
              <w:rPr>
                <w:rFonts w:hint="eastAsia" w:asciiTheme="minorEastAsia" w:hAnsiTheme="minorEastAsia" w:eastAsiaTheme="minorEastAsia" w:cstheme="minorEastAsia"/>
                <w:b/>
                <w:bCs/>
                <w:i w:val="0"/>
                <w:color w:val="000000"/>
                <w:kern w:val="0"/>
                <w:sz w:val="22"/>
                <w:szCs w:val="22"/>
                <w:highlight w:val="none"/>
                <w:u w:val="none"/>
                <w:lang w:val="en-US" w:eastAsia="zh-CN" w:bidi="ar"/>
              </w:rPr>
              <w:t>年预算数</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color w:val="000000"/>
                <w:kern w:val="0"/>
                <w:sz w:val="22"/>
                <w:szCs w:val="22"/>
                <w:highlight w:val="none"/>
                <w:u w:val="none"/>
                <w:lang w:val="en-US" w:eastAsia="zh-CN" w:bidi="ar"/>
              </w:rPr>
              <w:t>比上年预算数增</w:t>
            </w:r>
            <w:r>
              <w:rPr>
                <w:rFonts w:hint="eastAsia" w:asciiTheme="minorEastAsia" w:hAnsiTheme="minorEastAsia" w:eastAsiaTheme="minorEastAsia" w:cstheme="minorEastAsia"/>
                <w:b/>
                <w:bCs/>
                <w:i w:val="0"/>
                <w:color w:val="000000"/>
                <w:kern w:val="0"/>
                <w:sz w:val="22"/>
                <w:szCs w:val="22"/>
                <w:highlight w:val="none"/>
                <w:u w:val="none"/>
                <w:lang w:val="en-US" w:eastAsia="zh-CN" w:bidi="ar"/>
              </w:rPr>
              <w:t>（</w:t>
            </w:r>
            <w:r>
              <w:rPr>
                <w:rFonts w:hint="default" w:asciiTheme="minorEastAsia" w:hAnsiTheme="minorEastAsia" w:eastAsiaTheme="minorEastAsia" w:cstheme="minorEastAsia"/>
                <w:b/>
                <w:bCs/>
                <w:i w:val="0"/>
                <w:color w:val="000000"/>
                <w:kern w:val="0"/>
                <w:sz w:val="22"/>
                <w:szCs w:val="22"/>
                <w:highlight w:val="none"/>
                <w:u w:val="none"/>
                <w:lang w:val="en-US" w:eastAsia="zh-CN" w:bidi="ar"/>
              </w:rPr>
              <w:t>减</w:t>
            </w:r>
            <w:r>
              <w:rPr>
                <w:rFonts w:hint="eastAsia" w:asciiTheme="minorEastAsia" w:hAnsiTheme="minorEastAsia" w:eastAsiaTheme="minorEastAsia" w:cstheme="minorEastAsia"/>
                <w:b/>
                <w:bCs/>
                <w:i w:val="0"/>
                <w:color w:val="000000"/>
                <w:kern w:val="0"/>
                <w:sz w:val="22"/>
                <w:szCs w:val="22"/>
                <w:highlight w:val="none"/>
                <w:u w:val="none"/>
                <w:lang w:val="en-US" w:eastAsia="zh-CN" w:bidi="ar"/>
              </w:rPr>
              <w:t>）</w:t>
            </w:r>
            <w:r>
              <w:rPr>
                <w:rFonts w:hint="default" w:asciiTheme="minorEastAsia" w:hAnsiTheme="minorEastAsia" w:eastAsiaTheme="minorEastAsia" w:cstheme="minorEastAsia"/>
                <w:b/>
                <w:bCs/>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101</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一、税收收入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72208</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83825</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10101</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增值税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19589</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18597</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10104</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企业所得税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4463</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4640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10106</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个人所得税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1125</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1685</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10107</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资源税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6355</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6750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10109</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城市维护建设税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4800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6201</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10110</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房产税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4400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7170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10111</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印花税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2500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3196</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10112</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城镇土地使用税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18776</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18000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10113</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土地增值税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3300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4786</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10114</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车船税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3200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3300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10118</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耕地占用税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4000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10119</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契税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3700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5500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48.65%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10120</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烟叶税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10121</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环境保护税</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10199</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其他税收收入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103</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二、非税收入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54227</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55884</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10302</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专项收入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7634</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15000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96.49%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10304</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行政事业性收费收入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2690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5400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10305</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罚没收入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2466</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4500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82.48%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10306</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国有资本经营收入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Theme="minorEastAsia" w:hAnsiTheme="minorEastAsia" w:eastAsiaTheme="minorEastAsia" w:cstheme="minorEastAsia"/>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3"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10307</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国有资源（资产）有偿使用收入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37320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24460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10308</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捐赠收入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51</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292.16%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98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10309</w:t>
            </w:r>
          </w:p>
        </w:tc>
        <w:tc>
          <w:tcPr>
            <w:tcW w:w="250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政府住房基金收入</w:t>
            </w:r>
          </w:p>
        </w:tc>
        <w:tc>
          <w:tcPr>
            <w:tcW w:w="185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3026</w:t>
            </w:r>
          </w:p>
        </w:tc>
        <w:tc>
          <w:tcPr>
            <w:tcW w:w="185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6124</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5"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10399</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其他收入</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1040</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200</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22"/>
                <w:szCs w:val="22"/>
                <w:highlight w:val="none"/>
                <w:u w:val="none"/>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-80.77%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5" w:hRule="atLeast"/>
        </w:trPr>
        <w:tc>
          <w:tcPr>
            <w:tcW w:w="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color w:val="000000"/>
                <w:kern w:val="0"/>
                <w:sz w:val="22"/>
                <w:szCs w:val="22"/>
                <w:highlight w:val="none"/>
                <w:u w:val="none"/>
                <w:lang w:val="en-US" w:eastAsia="zh-CN" w:bidi="ar"/>
              </w:rPr>
            </w:pP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一般公共预算收入合计</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126435</w:t>
            </w:r>
          </w:p>
        </w:tc>
        <w:tc>
          <w:tcPr>
            <w:tcW w:w="18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139709</w:t>
            </w:r>
          </w:p>
        </w:tc>
        <w:tc>
          <w:tcPr>
            <w:tcW w:w="1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-10.50%</w:t>
            </w:r>
          </w:p>
        </w:tc>
      </w:tr>
    </w:tbl>
    <w:p>
      <w:pPr>
        <w:rPr>
          <w:rFonts w:hint="eastAsia" w:asciiTheme="minorEastAsia" w:hAnsiTheme="minorEastAsia" w:eastAsiaTheme="minorEastAsia" w:cstheme="minorEastAsia"/>
          <w:sz w:val="22"/>
          <w:szCs w:val="22"/>
          <w:highlight w:val="none"/>
        </w:rPr>
      </w:pPr>
    </w:p>
    <w:p>
      <w:pPr>
        <w:rPr>
          <w:rFonts w:hint="default" w:ascii="Times New Roman" w:hAnsi="Times New Roman" w:cs="Times New Roman"/>
          <w:highlight w:val="none"/>
        </w:rPr>
      </w:pPr>
    </w:p>
    <w:tbl>
      <w:tblPr>
        <w:tblStyle w:val="8"/>
        <w:tblW w:w="92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22"/>
        <w:gridCol w:w="3368"/>
        <w:gridCol w:w="1756"/>
        <w:gridCol w:w="1756"/>
        <w:gridCol w:w="13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6" w:hRule="atLeast"/>
        </w:trPr>
        <w:tc>
          <w:tcPr>
            <w:tcW w:w="1022"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表4</w:t>
            </w:r>
          </w:p>
        </w:tc>
        <w:tc>
          <w:tcPr>
            <w:tcW w:w="336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highlight w:val="none"/>
                <w:u w:val="none"/>
              </w:rPr>
            </w:pPr>
          </w:p>
        </w:tc>
        <w:tc>
          <w:tcPr>
            <w:tcW w:w="1756"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756"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37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27" w:hRule="atLeast"/>
        </w:trPr>
        <w:tc>
          <w:tcPr>
            <w:tcW w:w="928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8"/>
                <w:szCs w:val="28"/>
                <w:highlight w:val="none"/>
                <w:u w:val="none"/>
              </w:rPr>
            </w:pPr>
            <w:r>
              <w:rPr>
                <w:rFonts w:hint="eastAsia" w:asciiTheme="majorEastAsia" w:hAnsiTheme="majorEastAsia" w:eastAsiaTheme="majorEastAsia" w:cstheme="majorEastAsia"/>
                <w:b/>
                <w:bCs/>
                <w:i w:val="0"/>
                <w:color w:val="000000"/>
                <w:kern w:val="0"/>
                <w:sz w:val="28"/>
                <w:szCs w:val="28"/>
                <w:highlight w:val="none"/>
                <w:u w:val="none"/>
                <w:lang w:val="en-US" w:eastAsia="zh-CN" w:bidi="ar"/>
              </w:rPr>
              <w:t>2026年高昌区本级一般公共预算支出表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1022" w:type="dxa"/>
            <w:tcBorders>
              <w:top w:val="nil"/>
              <w:left w:val="nil"/>
              <w:bottom w:val="nil"/>
              <w:right w:val="nil"/>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3368" w:type="dxa"/>
            <w:tcBorders>
              <w:top w:val="nil"/>
              <w:left w:val="nil"/>
              <w:bottom w:val="nil"/>
              <w:right w:val="nil"/>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2"/>
                <w:szCs w:val="22"/>
                <w:highlight w:val="none"/>
                <w:u w:val="none"/>
              </w:rPr>
            </w:pPr>
          </w:p>
        </w:tc>
        <w:tc>
          <w:tcPr>
            <w:tcW w:w="1756"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756"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378"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47"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科目编码</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项   目</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2025年预算数</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2026年预算数</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22"/>
                <w:szCs w:val="22"/>
                <w:highlight w:val="none"/>
                <w:u w:val="none"/>
              </w:rPr>
            </w:pPr>
            <w:r>
              <w:rPr>
                <w:rFonts w:hint="eastAsia" w:asciiTheme="minorEastAsia" w:hAnsiTheme="minorEastAsia" w:eastAsiaTheme="minorEastAsia" w:cstheme="minorEastAsia"/>
                <w:b/>
                <w:bCs/>
                <w:i w:val="0"/>
                <w:color w:val="000000"/>
                <w:kern w:val="0"/>
                <w:sz w:val="22"/>
                <w:szCs w:val="22"/>
                <w:highlight w:val="none"/>
                <w:u w:val="none"/>
                <w:lang w:val="en-US" w:eastAsia="zh-CN" w:bidi="ar"/>
              </w:rPr>
              <w:t>比上年预算数增（减）%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一般公共服务支出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44369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36908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人大事务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394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372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2010101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2010104</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人大会议</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2010106</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人大监督</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2010107</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人大代表履职能力提升</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2010108</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代表工作</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2010199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其他人大事务支出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20102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政协事务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320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298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2010201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315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262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2010299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其他政协事务支出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20103</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政府办公厅（室）及相关机构事务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27417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20293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2010301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12726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14136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2010302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一般行政管理事务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2010350</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691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7"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2010399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其他政府办公厅（室）及相关机构事务支出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14140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5465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20104</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发展与改革事务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702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583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2010401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2010450</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2010499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其他发展与改革事务支出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353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199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20105</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统计信息事务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2010501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2010508</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统计抽样调查</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20106</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财政事务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625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599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2010601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475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2010699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其他财政事务支出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20108</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审计事务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2010801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20111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纪检监察事务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1283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1362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2011101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1142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1333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2011199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其他纪检监察事务支出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20113</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商贸事务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2011301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198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20126</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档案事务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2012604</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档案馆</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20128</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民主党派及工商联事务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2012801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20129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群众团体事务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332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2012901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242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2012950</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20131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党委办公厅（室）及相关机构事务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2744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4379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2013101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2694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2869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2013102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一般行政管理事务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20132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组织事务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7637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5434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2013201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5480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4294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2013202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一般行政管理事务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1106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453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2013299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其他组织事务支出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1051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687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20133</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宣传事务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2013301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2013399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其他宣传事务支出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20134</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统战事务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942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941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2013401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294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2013404</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ZJ</w:t>
            </w:r>
            <w:r>
              <w:rPr>
                <w:rFonts w:hint="eastAsia" w:ascii="宋体" w:hAnsi="宋体" w:eastAsia="宋体" w:cs="宋体"/>
                <w:i w:val="0"/>
                <w:color w:val="000000"/>
                <w:kern w:val="0"/>
                <w:sz w:val="22"/>
                <w:szCs w:val="22"/>
                <w:highlight w:val="none"/>
                <w:u w:val="none"/>
                <w:lang w:val="en-US" w:eastAsia="zh-CN" w:bidi="ar"/>
              </w:rPr>
              <w:t>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648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597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20137</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网信事务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2013701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191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20138</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市场监督管理事务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955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1077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2013801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861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2013802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一般行政管理事务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2013812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药品事务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2013815</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质量安全监管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2013816</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食品安全监管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2013899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其他市场监督管理事务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722.22%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20139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社会工作事务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112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2013901</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2013902</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一般行政管理事务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20140</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信访事务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2014004</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信访业务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20199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其他一般公共服务支出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2019999</w:t>
            </w:r>
          </w:p>
        </w:tc>
        <w:tc>
          <w:tcPr>
            <w:tcW w:w="3368"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其他一般公共服务支出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国防支出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1473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14630.00%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20306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国防动员</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1473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14630.00%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2030601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兵役征集</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2030607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民兵</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公共安全支出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33906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38809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20402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公安</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33138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37900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2040201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20144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30051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2040220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执法办案</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2040299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其他公安支出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12898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4703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-63.54%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20406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司法</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767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901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2040601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539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677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2040699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其他司法支出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20499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其他公共安全支出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2049999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其他公共安全支出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教育支出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71655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93385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20501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教育管理事务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1598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945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1095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945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其他教育管理事务支出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20502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普通教育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69102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90951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学前教育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5745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6597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2050202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小学教育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29781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43215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2050203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初中教育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27177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34036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2050204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高中教育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4103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6919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2050299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其他普通教育支出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2296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-91.99%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20503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职业教育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840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1348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2050302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中等职业教育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494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1348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2050303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技校教育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20507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特殊教育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2050799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其他特殊教育支出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进修及培训</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2050802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干部教育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科学技术支出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20601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科学技术管理事务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2060101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20602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基础研究</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2060208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科技人才队伍建设</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20604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技术研究与开发</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2060404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科技成果转化与扩散</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20607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科学技术普及</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2060702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科普活动</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文化旅游体育与传媒支出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3432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3420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20701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文化和旅游</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1229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1718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414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2070109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群众文化</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2070114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文化和旅游管理事务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486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569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其他文化和旅游支出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590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20702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文物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293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2070206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历史名城与古迹</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293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20703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体育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2070399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其他体育支出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20708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广播电视</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296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2070808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广播电视事务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268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2070899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其他广播电视支出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20799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其他文化旅游体育与传媒支出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934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1026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2079999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其他文化旅游体育与传媒支出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934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1026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社会保障和就业支出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46279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53127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人力资源和社会保障管理事务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1466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1754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542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2080109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社会保险经办机构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292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2080111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公共就业服务和职业技能鉴定机构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519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2080150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7"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其他人力资源和社会保障管理事务支出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民政管理事务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401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437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401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432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行政事业单位养老支出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25654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29588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2080501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行政单位离退休</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840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605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2080502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事业单位离退休</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1666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2080505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机关事业单位基本养老保险缴费支出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15934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18209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2080506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机关事业单位职业年金缴费支出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1697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2208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7"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2080507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对机关事业单位基本养老保险基金的补助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5128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6900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就业补助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2796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3285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2080701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就业创业服务补助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2080702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职业培训补贴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2080704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社会保险补贴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1181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1864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2080705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公益性岗位补贴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781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765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2080711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就业见习补贴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386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261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2080713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求职和创业补贴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2080799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其他就业补助支出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抚恤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3132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2596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2080801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死亡抚恤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2080802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伤残抚恤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786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731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2080805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cs="宋体"/>
                <w:i w:val="0"/>
                <w:color w:val="000000"/>
                <w:kern w:val="0"/>
                <w:sz w:val="22"/>
                <w:szCs w:val="22"/>
                <w:highlight w:val="none"/>
                <w:u w:val="none"/>
                <w:lang w:val="en-US" w:eastAsia="zh-CN" w:bidi="ar"/>
              </w:rPr>
              <w:t>YWB</w:t>
            </w:r>
            <w:r>
              <w:rPr>
                <w:rFonts w:hint="eastAsia" w:ascii="宋体" w:hAnsi="宋体" w:eastAsia="宋体" w:cs="宋体"/>
                <w:i w:val="0"/>
                <w:color w:val="000000"/>
                <w:kern w:val="0"/>
                <w:sz w:val="22"/>
                <w:szCs w:val="22"/>
                <w:highlight w:val="none"/>
                <w:u w:val="none"/>
                <w:lang w:val="en-US" w:eastAsia="zh-CN" w:bidi="ar"/>
              </w:rPr>
              <w:t>优待</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365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20809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cs="宋体"/>
                <w:b/>
                <w:bCs/>
                <w:i w:val="0"/>
                <w:color w:val="000000"/>
                <w:kern w:val="0"/>
                <w:sz w:val="22"/>
                <w:szCs w:val="22"/>
                <w:highlight w:val="none"/>
                <w:u w:val="none"/>
                <w:lang w:val="en-US" w:eastAsia="zh-CN" w:bidi="ar"/>
              </w:rPr>
              <w:t>TY</w:t>
            </w:r>
            <w:r>
              <w:rPr>
                <w:rFonts w:hint="eastAsia" w:ascii="宋体" w:hAnsi="宋体" w:eastAsia="宋体" w:cs="宋体"/>
                <w:b/>
                <w:bCs/>
                <w:i w:val="0"/>
                <w:color w:val="000000"/>
                <w:kern w:val="0"/>
                <w:sz w:val="22"/>
                <w:szCs w:val="22"/>
                <w:highlight w:val="none"/>
                <w:u w:val="none"/>
                <w:lang w:val="en-US" w:eastAsia="zh-CN" w:bidi="ar"/>
              </w:rPr>
              <w:t>安置</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313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296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2080901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Theme="minorEastAsia" w:hAnsiTheme="minorEastAsia" w:eastAsiaTheme="minorEastAsia" w:cstheme="minorEastAsia"/>
                <w:b w:val="0"/>
                <w:bCs w:val="0"/>
                <w:i w:val="0"/>
                <w:color w:val="000000"/>
                <w:kern w:val="0"/>
                <w:sz w:val="22"/>
                <w:szCs w:val="22"/>
                <w:highlight w:val="none"/>
                <w:u w:val="none"/>
                <w:lang w:val="en-US" w:eastAsia="zh-CN" w:bidi="ar"/>
              </w:rPr>
              <w:t>TYSB</w:t>
            </w:r>
            <w:r>
              <w:rPr>
                <w:rFonts w:hint="eastAsia" w:ascii="宋体" w:hAnsi="宋体" w:eastAsia="宋体" w:cs="宋体"/>
                <w:i w:val="0"/>
                <w:color w:val="000000"/>
                <w:kern w:val="0"/>
                <w:sz w:val="22"/>
                <w:szCs w:val="22"/>
                <w:highlight w:val="none"/>
                <w:u w:val="none"/>
                <w:lang w:val="en-US" w:eastAsia="zh-CN" w:bidi="ar"/>
              </w:rPr>
              <w:t>安置</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2080904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Theme="minorEastAsia" w:hAnsiTheme="minorEastAsia" w:eastAsiaTheme="minorEastAsia" w:cstheme="minorEastAsia"/>
                <w:b w:val="0"/>
                <w:bCs w:val="0"/>
                <w:i w:val="0"/>
                <w:color w:val="000000"/>
                <w:kern w:val="0"/>
                <w:sz w:val="22"/>
                <w:szCs w:val="22"/>
                <w:highlight w:val="none"/>
                <w:u w:val="none"/>
                <w:lang w:val="en-US" w:eastAsia="zh-CN" w:bidi="ar"/>
              </w:rPr>
              <w:t>TYSB</w:t>
            </w:r>
            <w:r>
              <w:rPr>
                <w:rFonts w:hint="eastAsia" w:ascii="宋体" w:hAnsi="宋体" w:eastAsia="宋体" w:cs="宋体"/>
                <w:i w:val="0"/>
                <w:color w:val="000000"/>
                <w:kern w:val="0"/>
                <w:sz w:val="22"/>
                <w:szCs w:val="22"/>
                <w:highlight w:val="none"/>
                <w:u w:val="none"/>
                <w:lang w:val="en-US" w:eastAsia="zh-CN" w:bidi="ar"/>
              </w:rPr>
              <w:t>管理教育</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2080905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Theme="minorEastAsia" w:hAnsiTheme="minorEastAsia" w:eastAsiaTheme="minorEastAsia" w:cstheme="minorEastAsia"/>
                <w:b w:val="0"/>
                <w:bCs w:val="0"/>
                <w:i w:val="0"/>
                <w:color w:val="000000"/>
                <w:kern w:val="0"/>
                <w:sz w:val="22"/>
                <w:szCs w:val="22"/>
                <w:highlight w:val="none"/>
                <w:u w:val="none"/>
                <w:lang w:val="en-US" w:eastAsia="zh-CN" w:bidi="ar"/>
              </w:rPr>
              <w:t>JD</w:t>
            </w:r>
            <w:r>
              <w:rPr>
                <w:rFonts w:hint="eastAsia" w:ascii="宋体" w:hAnsi="宋体" w:eastAsia="宋体" w:cs="宋体"/>
                <w:i w:val="0"/>
                <w:color w:val="000000"/>
                <w:kern w:val="0"/>
                <w:sz w:val="22"/>
                <w:szCs w:val="22"/>
                <w:highlight w:val="none"/>
                <w:u w:val="none"/>
                <w:lang w:val="en-US" w:eastAsia="zh-CN" w:bidi="ar"/>
              </w:rPr>
              <w:t>转业干部安置</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20810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社会福利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418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635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2081001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儿童福利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2081002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老年福利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322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573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2081099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其他社会福利支出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20811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残疾人事业</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1128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1325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2081104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残疾人康复</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2081107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残疾人生活和护理补贴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873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1022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20816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红十字事业</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2081650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2081699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其他红十字事业支出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20819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最低生活保障</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8449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8054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2081901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城市最低生活保障金支出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662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680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2081902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农村最低生活保障金支出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7787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7374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20820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临时救助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2082001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临时救助支出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2082002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流浪乞讨人员救助支出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20821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特困人员救助供养</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301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2082101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城市特困人员救助供养支出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2082102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农村特困人员救助供养支出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56.78%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20826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财政对基本养老保险基金的补助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1947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4638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138.21%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2082601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财政对企业职工基本养老保险基金的补助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35.14%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47"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2082602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财政对城乡居民基本养老保险基金的补助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1762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4388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20828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退役军人管理事务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2082801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卫生健康支出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22845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27407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卫生健康管理事务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489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467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438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330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-24.66%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其他卫生健康管理事务支出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公立医院</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2052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综合医院</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1984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基层医疗卫生机构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4097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4568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2100302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乡镇卫生院</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3611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4362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2100399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其他基层医疗卫生机构支出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486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公共卫生</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6177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6292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2100401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疾病预防控制机构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676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729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2100403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妇幼保健机构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615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2100408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基本公共卫生服务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3125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2851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2100409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重大公共卫生服务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245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2100410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突发公共卫生事件应急处置</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2100499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其他公共卫生支出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565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625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JHSY</w:t>
            </w:r>
            <w:r>
              <w:rPr>
                <w:rFonts w:hint="eastAsia" w:ascii="宋体" w:hAnsi="宋体" w:eastAsia="宋体" w:cs="宋体"/>
                <w:b/>
                <w:bCs/>
                <w:i w:val="0"/>
                <w:color w:val="000000"/>
                <w:kern w:val="0"/>
                <w:sz w:val="22"/>
                <w:szCs w:val="22"/>
                <w:highlight w:val="none"/>
                <w:u w:val="none"/>
                <w:lang w:val="en-US" w:eastAsia="zh-CN" w:bidi="ar"/>
              </w:rPr>
              <w:t>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1455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1373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2100717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Theme="minorEastAsia" w:hAnsiTheme="minorEastAsia" w:eastAsiaTheme="minorEastAsia" w:cstheme="minorEastAsia"/>
                <w:b w:val="0"/>
                <w:bCs w:val="0"/>
                <w:i w:val="0"/>
                <w:color w:val="000000"/>
                <w:kern w:val="0"/>
                <w:sz w:val="22"/>
                <w:szCs w:val="22"/>
                <w:highlight w:val="none"/>
                <w:u w:val="none"/>
                <w:lang w:val="en-US" w:eastAsia="zh-CN" w:bidi="ar"/>
              </w:rPr>
              <w:t>JHSY</w:t>
            </w:r>
            <w:r>
              <w:rPr>
                <w:rFonts w:hint="eastAsia" w:ascii="宋体" w:hAnsi="宋体" w:eastAsia="宋体" w:cs="宋体"/>
                <w:i w:val="0"/>
                <w:color w:val="000000"/>
                <w:kern w:val="0"/>
                <w:sz w:val="22"/>
                <w:szCs w:val="22"/>
                <w:highlight w:val="none"/>
                <w:u w:val="none"/>
                <w:lang w:val="en-US" w:eastAsia="zh-CN" w:bidi="ar"/>
              </w:rPr>
              <w:t>服务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1455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1373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21011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行政事业单位医疗</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7232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8448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行政单位医疗</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2502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3220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2101102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事业单位医疗</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4262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4676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2101103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公务员医疗补助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468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403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21012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财政对基本医疗保险基金的补助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1096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1201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47"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2101202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财政对城乡居民基本医疗保险基金的补助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1096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1201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21014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优抚对象医疗</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2101401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优抚对象医疗补助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21015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医疗保障管理事务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2101501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2101506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医疗保障经办事务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2101550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38.55%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节能环保支出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7837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7263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21103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污染防治</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5222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4123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2110302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水体</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5222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4123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21104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自然生态保护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1773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2261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2110401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生态保护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1773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21105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森林保护修复</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665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2110501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森林管护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537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665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21107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风沙荒漠治理</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2110799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其他风沙荒漠治理支出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21110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能源节约利用</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2111001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能源节约利用</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城乡社区支出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14453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25904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城乡社区管理事务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7495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6471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6414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5229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2120104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城管执法</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589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737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2120107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市政公用行业市场监管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2120109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住宅建设与房地产市场监管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其他城乡社区管理事务支出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21203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城乡社区公共设施</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4473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16272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263.78%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2120303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小城镇基础设施建设</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1315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8890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576.05%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2120399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其他城乡社区公共设施支出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3158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7382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21205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城乡社区环境卫生</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2485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3161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2120501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城乡社区环境卫生</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2485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3161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农林水支出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60941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72431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农业农村</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15959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12480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1092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1224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1105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1212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2130109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农产品质量安全</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2130119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防灾救灾</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2130122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农业生产发展</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387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2130124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农村合作经济</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466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462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2130135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农业生态资源保护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2164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1795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2130153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耕地建设与利用</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10687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6845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-35.95%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林业和草原</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3242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195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2130202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一般行政管理事务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2130204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565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617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2130221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产业化管理</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448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583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2130238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退耕还林还草</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2130299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其他林业和草原支出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1688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260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水利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18644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39694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112.90%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661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744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水利工程建设</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5051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8296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水利工程运行与维护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2130311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水资源节约管理与保护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2130314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防汛</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2130319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江河湖库水系综合整治</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3748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4563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2130335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农村供水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199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2130399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其他水利支出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8860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20969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巩固脱贫攻坚成果衔接乡村振兴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22677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15564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2130504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农村基础设施建设</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663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1339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2130505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生产发展</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1046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5942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468.07%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47"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2130599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其他巩固脱贫攻坚成果衔接乡村振兴支出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20968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8283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农村综合改革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112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1808.04%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2130701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对村级公益事业建设的补助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112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571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409.82%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21308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普惠金融发展支出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307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417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2130803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农业保险保费补贴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307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381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交通运输支出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8401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13319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21401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公路水路运输</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6283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9537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2140101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942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698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2140104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公路建设</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4285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7719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2140106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公路养护</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896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960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2140199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其他公路水路运输支出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21499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其他交通运输支出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2118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182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-91.41%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2149999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其他交通运输支出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2118</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资源勘探工业信息等支出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29434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33090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21501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资源勘探开发</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2150199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其他资源勘探业支出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21502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制造业</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6989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12540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2150204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纺织业</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6989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12311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21507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国有资产监管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22345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20450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2150701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392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430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2150799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其他国有资产监管支出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21953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20020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商业服务业等支出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21602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商业流通事务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-44.87%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2160250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2160299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其他商业流通事务支出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-79.23%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21606</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涉外发展服务支出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2160699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其他涉外发展服务支出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自然资源海洋气象等支出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2451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22001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自然资源事务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679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2417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255.96%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2200101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463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2200150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事业运行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223</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22005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气象事务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2200504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气象事业机构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34</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住房保障支出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30410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26989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保障性安居工程支出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17584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19018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2210103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棚户区改造</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5291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4572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-13.59%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2210104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少数民族地区游牧民定居工程</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65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2210105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农村危房改造</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2210108</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老旧小区改造</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12104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10335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-14.62%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22102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住房改革支出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12826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7971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2210201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住房公积金</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12826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7971</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粮油物资储备支出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粮油物资事务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2220115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粮食风险基金</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灾害防治及应急管理支出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824</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1379</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22401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应急管理事务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466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2240101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行政运行</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366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427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2240199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其他应急管理支出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22402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消防救援事务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2240204</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消防应急救援</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22405</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地震事务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2240550</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地震事业机构</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22407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自然灾害救灾及恢复重建支出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2240703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自然灾害救灾补助</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206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4"/>
                <w:szCs w:val="24"/>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227</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预备费</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4803</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4837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50155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6065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22902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年初预留</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32156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5738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-82.16%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2290201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年初预留</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32156</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5738</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22999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17999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327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2299999</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17999</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327</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债务付息支出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9687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9855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23203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地方政府一般债务付息支出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9687</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9855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2320301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地方政府一般债券付息支出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7695</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8435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2320302</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地方政府向外国政府借款付息支出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1642</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185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-88.73%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2320303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地方政府向国际组织借款付息支出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350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1235</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252.86%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债务发行费用支出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23303</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地方政府一般债务发行费用支出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2330301</w:t>
            </w:r>
          </w:p>
        </w:tc>
        <w:tc>
          <w:tcPr>
            <w:tcW w:w="33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地方政府一般债务发行费用支出</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50</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4"/>
                <w:szCs w:val="24"/>
                <w:highlight w:val="none"/>
                <w:u w:val="none"/>
              </w:rPr>
            </w:pPr>
            <w:r>
              <w:rPr>
                <w:rFonts w:hint="default" w:ascii="Times New Roman" w:hAnsi="Times New Roman" w:eastAsia="宋体" w:cs="Times New Roman"/>
                <w:i w:val="0"/>
                <w:color w:val="000000"/>
                <w:kern w:val="0"/>
                <w:sz w:val="24"/>
                <w:szCs w:val="24"/>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7" w:hRule="atLeast"/>
        </w:trPr>
        <w:tc>
          <w:tcPr>
            <w:tcW w:w="4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一般公共预算支出合计</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440661</w:t>
            </w:r>
          </w:p>
        </w:tc>
        <w:tc>
          <w:tcPr>
            <w:tcW w:w="1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458536</w:t>
            </w:r>
          </w:p>
        </w:tc>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4.06%</w:t>
            </w:r>
          </w:p>
        </w:tc>
      </w:tr>
    </w:tbl>
    <w:p>
      <w:pPr>
        <w:rPr>
          <w:rFonts w:hint="default" w:ascii="Times New Roman" w:hAnsi="Times New Roman" w:cs="Times New Roman"/>
          <w:highlight w:val="none"/>
        </w:rPr>
      </w:pPr>
    </w:p>
    <w:tbl>
      <w:tblPr>
        <w:tblStyle w:val="8"/>
        <w:tblW w:w="8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37"/>
        <w:gridCol w:w="2641"/>
        <w:gridCol w:w="1574"/>
        <w:gridCol w:w="1574"/>
        <w:gridCol w:w="15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3" w:hRule="atLeast"/>
        </w:trPr>
        <w:tc>
          <w:tcPr>
            <w:tcW w:w="143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w:t>
            </w: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w:t>
            </w:r>
          </w:p>
        </w:tc>
        <w:tc>
          <w:tcPr>
            <w:tcW w:w="2641"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574"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574"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574"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1" w:hRule="atLeast"/>
        </w:trPr>
        <w:tc>
          <w:tcPr>
            <w:tcW w:w="880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8"/>
                <w:szCs w:val="28"/>
                <w:highlight w:val="none"/>
                <w:u w:val="none"/>
              </w:rPr>
            </w:pPr>
            <w:r>
              <w:rPr>
                <w:rFonts w:hint="default" w:ascii="宋体" w:hAnsi="宋体" w:eastAsia="宋体" w:cs="宋体"/>
                <w:b/>
                <w:i w:val="0"/>
                <w:snapToGrid w:val="0"/>
                <w:color w:val="000000"/>
                <w:kern w:val="0"/>
                <w:sz w:val="28"/>
                <w:szCs w:val="28"/>
                <w:highlight w:val="none"/>
                <w:u w:val="none"/>
                <w:lang w:val="en-US" w:eastAsia="zh-CN" w:bidi="ar"/>
              </w:rPr>
              <w:t>2026</w:t>
            </w:r>
            <w:r>
              <w:rPr>
                <w:rFonts w:hint="eastAsia" w:ascii="宋体" w:hAnsi="宋体" w:eastAsia="宋体" w:cs="宋体"/>
                <w:b/>
                <w:i w:val="0"/>
                <w:snapToGrid w:val="0"/>
                <w:color w:val="000000"/>
                <w:kern w:val="0"/>
                <w:sz w:val="28"/>
                <w:szCs w:val="28"/>
                <w:highlight w:val="none"/>
                <w:u w:val="none"/>
                <w:lang w:val="en-US" w:eastAsia="zh-CN" w:bidi="ar"/>
              </w:rPr>
              <w:t>年高昌区本级一般公共预算基本支出预算表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3" w:hRule="atLeast"/>
        </w:trPr>
        <w:tc>
          <w:tcPr>
            <w:tcW w:w="880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0"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科目编码</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项   目</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2025年预算数</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2026年预算数</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比上年预算数增（减）%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501</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机关工资福利支出</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80305</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88226</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50101</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工资奖金津补贴</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31131</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33593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both"/>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50102</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社会保障缴费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9523</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10999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50103</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住房公积金</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4967</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5215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50199</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其他工资福利支出</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34684</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38418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502</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机关商品和服务支出</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36730</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70111</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90.88%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50201</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办公经费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10432</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21432</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50202</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会议费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72</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67</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50203</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培训费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159</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17</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-89.31%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50204</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专用材料购置费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1329</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4329</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225.73%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50205</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委托业务费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16082</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26082</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62.18%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50206</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公务接待费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50208</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公务用车运行维护费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1061</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1060</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50209</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维修（护）费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1756</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4756</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170.84%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50299</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其他商品和服务支出</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5789</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12318</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505</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对事业单位经常性补助</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95803</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109092</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50501</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工资福利支出</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93638</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103002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50502</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其他商品和服务支出</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2165</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6090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181.30%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509</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对个人和家庭的补助</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9498</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23989</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152.57%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50901</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社会福利和救助</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2430</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2649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50902</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助学金</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2619</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4018</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50905</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离退休费</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2873</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3889</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35.36%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6" w:hRule="atLeast"/>
        </w:trPr>
        <w:tc>
          <w:tcPr>
            <w:tcW w:w="14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50999</w:t>
            </w:r>
          </w:p>
        </w:tc>
        <w:tc>
          <w:tcPr>
            <w:tcW w:w="26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其他对个人家庭的补助</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1576</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13433 </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752.37%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6" w:hRule="atLeast"/>
        </w:trPr>
        <w:tc>
          <w:tcPr>
            <w:tcW w:w="40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一般公共预算支出合计</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222336</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291418</w:t>
            </w:r>
          </w:p>
        </w:tc>
        <w:tc>
          <w:tcPr>
            <w:tcW w:w="15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Chars="100"/>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31.07%</w:t>
            </w:r>
          </w:p>
        </w:tc>
      </w:tr>
    </w:tbl>
    <w:p>
      <w:pPr>
        <w:jc w:val="left"/>
        <w:rPr>
          <w:rFonts w:hint="default" w:ascii="Times New Roman" w:hAnsi="Times New Roman" w:cs="Times New Roman"/>
          <w:highlight w:val="none"/>
          <w:lang w:eastAsia="zh-Hans"/>
        </w:rPr>
      </w:pPr>
    </w:p>
    <w:tbl>
      <w:tblPr>
        <w:tblStyle w:val="8"/>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32"/>
        <w:gridCol w:w="3371"/>
        <w:gridCol w:w="1802"/>
        <w:gridCol w:w="1656"/>
        <w:gridCol w:w="1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5" w:hRule="atLeast"/>
        </w:trPr>
        <w:tc>
          <w:tcPr>
            <w:tcW w:w="932"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表6</w:t>
            </w:r>
          </w:p>
        </w:tc>
        <w:tc>
          <w:tcPr>
            <w:tcW w:w="3371"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80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656"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41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35" w:hRule="atLeast"/>
        </w:trPr>
        <w:tc>
          <w:tcPr>
            <w:tcW w:w="918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8"/>
                <w:szCs w:val="28"/>
                <w:highlight w:val="none"/>
                <w:u w:val="none"/>
              </w:rPr>
            </w:pPr>
            <w:r>
              <w:rPr>
                <w:rFonts w:hint="eastAsia" w:ascii="宋体" w:hAnsi="宋体" w:eastAsia="宋体" w:cs="宋体"/>
                <w:b/>
                <w:i w:val="0"/>
                <w:color w:val="000000"/>
                <w:kern w:val="0"/>
                <w:sz w:val="28"/>
                <w:szCs w:val="28"/>
                <w:highlight w:val="none"/>
                <w:u w:val="none"/>
                <w:lang w:val="en-US" w:eastAsia="zh-CN" w:bidi="ar"/>
              </w:rPr>
              <w:t>202</w:t>
            </w:r>
            <w:r>
              <w:rPr>
                <w:rFonts w:hint="eastAsia" w:ascii="宋体" w:hAnsi="宋体" w:cs="宋体"/>
                <w:b/>
                <w:i w:val="0"/>
                <w:color w:val="000000"/>
                <w:kern w:val="0"/>
                <w:sz w:val="28"/>
                <w:szCs w:val="28"/>
                <w:highlight w:val="none"/>
                <w:u w:val="none"/>
                <w:lang w:val="en-US" w:eastAsia="zh-CN" w:bidi="ar"/>
              </w:rPr>
              <w:t>6</w:t>
            </w:r>
            <w:r>
              <w:rPr>
                <w:rFonts w:hint="eastAsia" w:ascii="宋体" w:hAnsi="宋体" w:eastAsia="宋体" w:cs="宋体"/>
                <w:b/>
                <w:i w:val="0"/>
                <w:color w:val="000000"/>
                <w:kern w:val="0"/>
                <w:sz w:val="28"/>
                <w:szCs w:val="28"/>
                <w:highlight w:val="none"/>
                <w:u w:val="none"/>
                <w:lang w:val="en-US" w:eastAsia="zh-CN" w:bidi="ar"/>
              </w:rPr>
              <w:t>年高昌区本级一般公共预算政府预算支出经济分类明细表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3" w:hRule="atLeast"/>
        </w:trPr>
        <w:tc>
          <w:tcPr>
            <w:tcW w:w="932" w:type="dxa"/>
            <w:tcBorders>
              <w:top w:val="nil"/>
              <w:left w:val="nil"/>
              <w:bottom w:val="nil"/>
              <w:right w:val="nil"/>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sz w:val="20"/>
                <w:szCs w:val="20"/>
                <w:highlight w:val="none"/>
                <w:u w:val="none"/>
              </w:rPr>
            </w:pPr>
          </w:p>
        </w:tc>
        <w:tc>
          <w:tcPr>
            <w:tcW w:w="3371" w:type="dxa"/>
            <w:tcBorders>
              <w:top w:val="nil"/>
              <w:left w:val="nil"/>
              <w:bottom w:val="nil"/>
              <w:right w:val="nil"/>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2"/>
                <w:szCs w:val="22"/>
                <w:highlight w:val="none"/>
                <w:u w:val="none"/>
              </w:rPr>
            </w:pPr>
          </w:p>
        </w:tc>
        <w:tc>
          <w:tcPr>
            <w:tcW w:w="1802"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656"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41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1"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科目编码</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项   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2025</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年预算数</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2026</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年预算数</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比上年预算数增</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减</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机关工资福利支出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80305</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88226</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9.86%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50101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工资奖金津补贴</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31131</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 xml:space="preserve">33593 </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7.91%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50102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社会保障缴费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9523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 xml:space="preserve">10999 </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50103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住房公积金</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4967</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 xml:space="preserve">5215 </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50199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其他工资福利支出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34684</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 xml:space="preserve">38418 </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机关商品和服务支出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36730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70111</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90.88%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办公经费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10432</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21432</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会议费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72</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67</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培训费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159</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17</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-89.31%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50204</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专用材料购置费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1329</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4329</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225.73%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50205</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委托业务费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16082</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26082</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50206</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公务接待费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50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50207</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因公出国（境）费用</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50208</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公务用车运行维护费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1061</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1060</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50209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维修（护）费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1756</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4756</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170.84%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50299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其他商品和服务支出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5789</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12318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机关资本性支出（一）</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67250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14776</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-78.03%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50301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房屋建筑物购置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50302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基础设施建设</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62992</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12134</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-80.74%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50303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公务用车购置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50305</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土地征迁补偿和安置支出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50306</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设备购置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4258</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2642</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50307</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大型修缮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50399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其他资本性支出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504</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机关资本性支出（二）</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49593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81618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64.58%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50401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房屋建筑物购置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1473</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50402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基础设施建设</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25333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79481</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213.74%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50403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公务用车购置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50404</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设备购置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24</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664</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2666.67%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50405</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大型修缮</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50499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其他资本性支出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24236</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505</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对事业单位经常性补助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95803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109092</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50501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工资福利支出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93638</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103002</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50502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其他商品和服务支出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2165</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6090</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181.29%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50599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其他对事业单位补助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506</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对事业单位资本性补助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33320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20582</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-38.23%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50601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资本性支出（一）</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4321</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9181</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112.47%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50602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资本性支出（二）</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28999</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11401</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507</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对企业补助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11120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15137</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36.12%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50701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费用补贴</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50702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利息补贴</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11120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15137</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50799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其他对企业补助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508</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对企业资本性支出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1366</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50803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资本金注入（一）</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1366</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50804</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资本金注入（二）</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50805</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政府投资基金股权投资</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50899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其他对企业资本性支出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509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对个人和家庭的补助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38708</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23989</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-38.03%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50901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社会福利和救助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19338</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2648.7</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-86.30%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50902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助学金</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2619</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4018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50903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个人农业产业补贴</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50905</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离退休费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3174</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3889</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50999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其他对个人家庭的补助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13577</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13433.3</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510</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对社会保障基金补助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13159</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51002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对社会保险基金补助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13159</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51003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补偿全国社会保障基金</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51004</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对机关事业单位职业年金的补助</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highlight w:val="none"/>
                <w:u w:val="none"/>
              </w:rPr>
            </w:pP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债务利息及费用支出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9737</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9905</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51101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国内债务付息</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9687</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9855</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51103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eastAsia="宋体" w:cs="宋体"/>
                <w:i w:val="0"/>
                <w:color w:val="000000"/>
                <w:kern w:val="0"/>
                <w:sz w:val="22"/>
                <w:szCs w:val="22"/>
                <w:highlight w:val="none"/>
                <w:u w:val="none"/>
                <w:lang w:val="en-US" w:eastAsia="zh-CN" w:bidi="ar"/>
              </w:rPr>
              <w:t>国内债务发行费用</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50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50</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512</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债务还本支出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9490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18898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99.14%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51201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国内债务还本</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9490</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18898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99.14%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513</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转移性支出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38428</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6238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-83.77%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51301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上下级政府间转移性支出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38428</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6238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-83.77%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514</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预备费及预留</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4803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4837</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51401</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预备费</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4803</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4837</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4985</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5738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9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59999</w:t>
            </w: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其他支出</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4985</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5738</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7" w:hRule="atLeast"/>
        </w:trPr>
        <w:tc>
          <w:tcPr>
            <w:tcW w:w="9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b/>
                <w:bCs/>
                <w:i w:val="0"/>
                <w:color w:val="000000"/>
                <w:sz w:val="22"/>
                <w:szCs w:val="22"/>
                <w:highlight w:val="none"/>
                <w:u w:val="none"/>
              </w:rPr>
            </w:pPr>
          </w:p>
        </w:tc>
        <w:tc>
          <w:tcPr>
            <w:tcW w:w="33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221" w:firstLineChars="100"/>
              <w:jc w:val="lef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一般公共预算支出合计</w:t>
            </w:r>
          </w:p>
        </w:tc>
        <w:tc>
          <w:tcPr>
            <w:tcW w:w="18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480272</w:t>
            </w:r>
          </w:p>
        </w:tc>
        <w:tc>
          <w:tcPr>
            <w:tcW w:w="16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483672</w:t>
            </w:r>
          </w:p>
        </w:tc>
        <w:tc>
          <w:tcPr>
            <w:tcW w:w="1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0.71%</w:t>
            </w:r>
          </w:p>
        </w:tc>
      </w:tr>
    </w:tbl>
    <w:p>
      <w:pPr>
        <w:rPr>
          <w:rFonts w:hint="default" w:ascii="Times New Roman" w:hAnsi="Times New Roman" w:cs="Times New Roman"/>
          <w:highlight w:val="none"/>
        </w:rPr>
      </w:pPr>
    </w:p>
    <w:p>
      <w:pPr>
        <w:spacing w:line="20" w:lineRule="exact"/>
        <w:rPr>
          <w:rFonts w:hint="default" w:ascii="Times New Roman" w:hAnsi="Times New Roman" w:cs="Times New Roman"/>
          <w:highlight w:val="none"/>
        </w:rPr>
      </w:pPr>
    </w:p>
    <w:tbl>
      <w:tblPr>
        <w:tblStyle w:val="8"/>
        <w:tblW w:w="9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30"/>
        <w:gridCol w:w="2537"/>
        <w:gridCol w:w="1680"/>
        <w:gridCol w:w="1543"/>
        <w:gridCol w:w="1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5" w:hRule="atLeast"/>
        </w:trPr>
        <w:tc>
          <w:tcPr>
            <w:tcW w:w="153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表7</w:t>
            </w:r>
          </w:p>
        </w:tc>
        <w:tc>
          <w:tcPr>
            <w:tcW w:w="253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68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54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71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0" w:hRule="atLeast"/>
        </w:trPr>
        <w:tc>
          <w:tcPr>
            <w:tcW w:w="900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8"/>
                <w:szCs w:val="28"/>
                <w:highlight w:val="none"/>
                <w:u w:val="none"/>
              </w:rPr>
            </w:pPr>
            <w:r>
              <w:rPr>
                <w:rFonts w:hint="eastAsia" w:ascii="宋体" w:hAnsi="宋体" w:eastAsia="宋体" w:cs="宋体"/>
                <w:b/>
                <w:i w:val="0"/>
                <w:snapToGrid w:val="0"/>
                <w:color w:val="000000"/>
                <w:kern w:val="0"/>
                <w:sz w:val="28"/>
                <w:szCs w:val="28"/>
                <w:highlight w:val="none"/>
                <w:u w:val="none"/>
                <w:lang w:val="en-US" w:eastAsia="zh-CN" w:bidi="ar"/>
              </w:rPr>
              <w:t>2026年高昌区一般公共预算对下转移支付安排情况表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530"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2537"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680"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543"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71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00" w:lineRule="exact"/>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科目编码</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00" w:lineRule="exact"/>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项   目</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00" w:lineRule="exact"/>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2025年预算数</w:t>
            </w: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00" w:lineRule="exact"/>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2026年预算数</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00" w:lineRule="exact"/>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比上年预算数增（减）%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23001</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一、返还性支出</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2300102</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所得税基数返还支出</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2300104</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增值税税收返还支出</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2300105</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消费税税收返还支出</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23002</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二、一般性转移支付</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2300201</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体制补助支出</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2300202</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均衡性转移支付支出</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2300207</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县级基本财力保障机制奖补资金支出</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23003</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三、专项转移支付</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w:t>
            </w:r>
          </w:p>
        </w:tc>
        <w:tc>
          <w:tcPr>
            <w:tcW w:w="25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406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对下税收返还和转移支付合计</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5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bl>
    <w:p>
      <w:pPr>
        <w:keepNext w:val="0"/>
        <w:keepLines w:val="0"/>
        <w:pageBreakBefore w:val="0"/>
        <w:widowControl w:val="0"/>
        <w:kinsoku/>
        <w:wordWrap/>
        <w:overflowPunct/>
        <w:topLinePunct w:val="0"/>
        <w:autoSpaceDE w:val="0"/>
        <w:autoSpaceDN w:val="0"/>
        <w:bidi w:val="0"/>
        <w:adjustRightInd/>
        <w:snapToGrid/>
        <w:spacing w:before="0" w:after="0" w:line="266" w:lineRule="auto"/>
        <w:ind w:right="0" w:rightChars="0"/>
        <w:jc w:val="left"/>
        <w:textAlignment w:val="auto"/>
        <w:rPr>
          <w:rFonts w:ascii="宋体" w:hAnsi="宋体" w:eastAsia="宋体" w:cs="宋体"/>
          <w:snapToGrid/>
          <w:color w:val="000000"/>
          <w:spacing w:val="9"/>
          <w:kern w:val="2"/>
          <w:sz w:val="22"/>
          <w:szCs w:val="22"/>
          <w:highlight w:val="none"/>
          <w:lang w:eastAsia="zh-CN"/>
        </w:rPr>
      </w:pPr>
    </w:p>
    <w:p>
      <w:pPr>
        <w:keepNext w:val="0"/>
        <w:keepLines w:val="0"/>
        <w:pageBreakBefore w:val="0"/>
        <w:widowControl w:val="0"/>
        <w:kinsoku/>
        <w:wordWrap/>
        <w:overflowPunct/>
        <w:topLinePunct w:val="0"/>
        <w:autoSpaceDE w:val="0"/>
        <w:autoSpaceDN w:val="0"/>
        <w:bidi w:val="0"/>
        <w:adjustRightInd/>
        <w:snapToGrid/>
        <w:spacing w:before="0" w:after="0" w:line="266" w:lineRule="auto"/>
        <w:ind w:right="0" w:rightChars="0"/>
        <w:jc w:val="left"/>
        <w:textAlignment w:val="auto"/>
        <w:rPr>
          <w:rFonts w:hint="default" w:ascii="宋体" w:hAnsi="宋体" w:eastAsia="宋体" w:cs="宋体"/>
          <w:snapToGrid/>
          <w:color w:val="000000"/>
          <w:spacing w:val="9"/>
          <w:kern w:val="2"/>
          <w:sz w:val="22"/>
          <w:szCs w:val="22"/>
          <w:highlight w:val="none"/>
          <w:lang w:val="en-US" w:eastAsia="zh-Hans"/>
        </w:rPr>
      </w:pPr>
      <w:r>
        <w:rPr>
          <w:rFonts w:ascii="宋体" w:hAnsi="宋体" w:eastAsia="宋体" w:cs="宋体"/>
          <w:snapToGrid/>
          <w:color w:val="000000"/>
          <w:spacing w:val="9"/>
          <w:kern w:val="2"/>
          <w:sz w:val="22"/>
          <w:szCs w:val="22"/>
          <w:highlight w:val="none"/>
          <w:lang w:eastAsia="zh-CN"/>
        </w:rPr>
        <w:t>备注：高昌区本级无对下转移支付支出</w:t>
      </w:r>
    </w:p>
    <w:p>
      <w:pPr>
        <w:pStyle w:val="2"/>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p>
      <w:pPr>
        <w:pStyle w:val="2"/>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表8</w:t>
      </w:r>
    </w:p>
    <w:tbl>
      <w:tblPr>
        <w:tblStyle w:val="8"/>
        <w:tblW w:w="93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135"/>
        <w:gridCol w:w="978"/>
        <w:gridCol w:w="1212"/>
        <w:gridCol w:w="1238"/>
        <w:gridCol w:w="1336"/>
        <w:gridCol w:w="240"/>
        <w:gridCol w:w="1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60" w:hRule="atLeast"/>
        </w:trPr>
        <w:tc>
          <w:tcPr>
            <w:tcW w:w="9390" w:type="dxa"/>
            <w:gridSpan w:val="7"/>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snapToGrid/>
                <w:color w:val="000000"/>
                <w:kern w:val="0"/>
                <w:sz w:val="24"/>
                <w:szCs w:val="24"/>
                <w:highlight w:val="none"/>
                <w:u w:val="none"/>
                <w:lang w:val="en-US" w:eastAsia="zh-CN" w:bidi="ar"/>
              </w:rPr>
              <w:t>2026年高昌区一般公共预算对下转移支付情况表</w:t>
            </w:r>
            <w:r>
              <w:rPr>
                <w:rFonts w:hint="eastAsia" w:ascii="宋体" w:hAnsi="宋体" w:cs="宋体"/>
                <w:b/>
                <w:i w:val="0"/>
                <w:snapToGrid/>
                <w:color w:val="000000"/>
                <w:kern w:val="0"/>
                <w:sz w:val="24"/>
                <w:szCs w:val="24"/>
                <w:highlight w:val="none"/>
                <w:u w:val="none"/>
                <w:lang w:val="en-US" w:eastAsia="zh-CN" w:bidi="ar"/>
              </w:rPr>
              <w:t>（</w:t>
            </w:r>
            <w:r>
              <w:rPr>
                <w:rFonts w:hint="eastAsia" w:ascii="宋体" w:hAnsi="宋体" w:eastAsia="宋体" w:cs="宋体"/>
                <w:b/>
                <w:i w:val="0"/>
                <w:snapToGrid/>
                <w:color w:val="000000"/>
                <w:kern w:val="0"/>
                <w:sz w:val="24"/>
                <w:szCs w:val="24"/>
                <w:highlight w:val="none"/>
                <w:u w:val="none"/>
                <w:lang w:val="en-US" w:eastAsia="zh-CN" w:bidi="ar"/>
              </w:rPr>
              <w:t>分地区、项目</w:t>
            </w:r>
            <w:r>
              <w:rPr>
                <w:rFonts w:hint="eastAsia" w:ascii="宋体" w:hAnsi="宋体" w:cs="宋体"/>
                <w:b/>
                <w:i w:val="0"/>
                <w:snapToGrid/>
                <w:color w:val="000000"/>
                <w:kern w:val="0"/>
                <w:sz w:val="24"/>
                <w:szCs w:val="24"/>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3135"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sz w:val="20"/>
                <w:szCs w:val="20"/>
                <w:highlight w:val="none"/>
                <w:u w:val="none"/>
              </w:rPr>
            </w:pPr>
          </w:p>
        </w:tc>
        <w:tc>
          <w:tcPr>
            <w:tcW w:w="978"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b/>
                <w:i w:val="0"/>
                <w:color w:val="000000"/>
                <w:sz w:val="20"/>
                <w:szCs w:val="20"/>
                <w:highlight w:val="none"/>
                <w:u w:val="none"/>
              </w:rPr>
            </w:pPr>
          </w:p>
        </w:tc>
        <w:tc>
          <w:tcPr>
            <w:tcW w:w="1212" w:type="dxa"/>
            <w:tcBorders>
              <w:top w:val="nil"/>
              <w:left w:val="nil"/>
              <w:bottom w:val="nil"/>
              <w:right w:val="nil"/>
            </w:tcBorders>
            <w:shd w:val="clear" w:color="auto" w:fill="auto"/>
            <w:tcMar>
              <w:top w:w="15" w:type="dxa"/>
              <w:left w:w="15" w:type="dxa"/>
              <w:right w:w="15" w:type="dxa"/>
            </w:tcMar>
            <w:vAlign w:val="center"/>
          </w:tcPr>
          <w:p>
            <w:pPr>
              <w:jc w:val="right"/>
              <w:rPr>
                <w:rFonts w:hint="default" w:ascii="Times New Roman" w:hAnsi="Times New Roman" w:eastAsia="宋体" w:cs="Times New Roman"/>
                <w:b/>
                <w:i w:val="0"/>
                <w:color w:val="000000"/>
                <w:sz w:val="20"/>
                <w:szCs w:val="20"/>
                <w:highlight w:val="none"/>
                <w:u w:val="none"/>
              </w:rPr>
            </w:pPr>
          </w:p>
        </w:tc>
        <w:tc>
          <w:tcPr>
            <w:tcW w:w="1238" w:type="dxa"/>
            <w:tcBorders>
              <w:top w:val="nil"/>
              <w:left w:val="nil"/>
              <w:bottom w:val="nil"/>
              <w:right w:val="nil"/>
            </w:tcBorders>
            <w:shd w:val="clear" w:color="auto" w:fill="auto"/>
            <w:tcMar>
              <w:top w:w="15" w:type="dxa"/>
              <w:left w:w="15" w:type="dxa"/>
              <w:right w:w="15" w:type="dxa"/>
            </w:tcMar>
            <w:vAlign w:val="center"/>
          </w:tcPr>
          <w:p>
            <w:pPr>
              <w:jc w:val="right"/>
              <w:rPr>
                <w:rFonts w:hint="default" w:ascii="Times New Roman" w:hAnsi="Times New Roman" w:eastAsia="宋体" w:cs="Times New Roman"/>
                <w:b/>
                <w:i w:val="0"/>
                <w:color w:val="000000"/>
                <w:sz w:val="20"/>
                <w:szCs w:val="20"/>
                <w:highlight w:val="none"/>
                <w:u w:val="none"/>
              </w:rPr>
            </w:pPr>
          </w:p>
        </w:tc>
        <w:tc>
          <w:tcPr>
            <w:tcW w:w="1336" w:type="dxa"/>
            <w:tcBorders>
              <w:top w:val="nil"/>
              <w:left w:val="nil"/>
              <w:bottom w:val="nil"/>
              <w:right w:val="nil"/>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0"/>
                <w:szCs w:val="20"/>
                <w:highlight w:val="none"/>
                <w:u w:val="none"/>
              </w:rPr>
            </w:pPr>
          </w:p>
        </w:tc>
        <w:tc>
          <w:tcPr>
            <w:tcW w:w="1491" w:type="dxa"/>
            <w:gridSpan w:val="2"/>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exact"/>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项   目</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合计</w:t>
            </w: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0"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返还性支出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所得税基数返还支出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3"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增值税税收返还支出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消费税税收返还支出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30"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一般性转移支付支出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体制补助支出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均衡性转移支付支出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2"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县级基本财力保障机制奖补资金支出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ind w:firstLine="220" w:firstLineChars="100"/>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结算补助支出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0"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专项转移支付支出</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5" w:hRule="atLeast"/>
        </w:trPr>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合 计</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57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highlight w:val="none"/>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bl>
    <w:p>
      <w:pPr>
        <w:pStyle w:val="2"/>
        <w:rPr>
          <w:rFonts w:ascii="宋体" w:hAnsi="宋体" w:eastAsia="宋体" w:cs="宋体"/>
          <w:snapToGrid w:val="0"/>
          <w:color w:val="000000"/>
          <w:spacing w:val="9"/>
          <w:kern w:val="0"/>
          <w:sz w:val="22"/>
          <w:szCs w:val="22"/>
          <w:highlight w:val="none"/>
          <w:lang w:val="en-US" w:eastAsia="en-US" w:bidi="ar-SA"/>
        </w:rPr>
      </w:pPr>
    </w:p>
    <w:p>
      <w:pPr>
        <w:pStyle w:val="2"/>
        <w:rPr>
          <w:rFonts w:ascii="宋体" w:hAnsi="宋体" w:eastAsia="宋体" w:cs="宋体"/>
          <w:snapToGrid w:val="0"/>
          <w:color w:val="000000"/>
          <w:spacing w:val="9"/>
          <w:kern w:val="0"/>
          <w:sz w:val="22"/>
          <w:szCs w:val="22"/>
          <w:highlight w:val="none"/>
          <w:lang w:val="en-US" w:eastAsia="en-US" w:bidi="ar-SA"/>
        </w:rPr>
      </w:pPr>
      <w:r>
        <w:rPr>
          <w:rFonts w:ascii="宋体" w:hAnsi="宋体" w:eastAsia="宋体" w:cs="宋体"/>
          <w:snapToGrid w:val="0"/>
          <w:color w:val="000000"/>
          <w:spacing w:val="9"/>
          <w:kern w:val="0"/>
          <w:sz w:val="22"/>
          <w:szCs w:val="22"/>
          <w:highlight w:val="none"/>
          <w:lang w:val="en-US" w:eastAsia="en-US" w:bidi="ar-SA"/>
        </w:rPr>
        <w:t>备注：高昌区本级无对下转移支付支出</w:t>
      </w:r>
    </w:p>
    <w:p>
      <w:pPr>
        <w:rPr>
          <w:rFonts w:hint="default" w:ascii="Times New Roman" w:hAnsi="Times New Roman" w:eastAsia="楷体_GB2312" w:cs="Times New Roman"/>
          <w:b/>
          <w:bCs w:val="0"/>
          <w:kern w:val="0"/>
          <w:sz w:val="32"/>
          <w:szCs w:val="32"/>
          <w:highlight w:val="none"/>
          <w:lang w:val="en-US" w:eastAsia="zh-Hans"/>
        </w:rPr>
      </w:pPr>
      <w:r>
        <w:rPr>
          <w:rFonts w:ascii="宋体" w:hAnsi="宋体" w:eastAsia="宋体" w:cs="宋体"/>
          <w:snapToGrid w:val="0"/>
          <w:color w:val="000000"/>
          <w:spacing w:val="9"/>
          <w:kern w:val="0"/>
          <w:sz w:val="22"/>
          <w:szCs w:val="22"/>
          <w:highlight w:val="none"/>
          <w:lang w:val="en-US" w:eastAsia="en-US" w:bidi="ar-SA"/>
        </w:rPr>
        <w:br w:type="page"/>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firstLine="646" w:firstLineChars="200"/>
        <w:jc w:val="both"/>
        <w:textAlignment w:val="baseline"/>
        <w:rPr>
          <w:rFonts w:hint="default" w:ascii="KaiTi_GB2312" w:hAnsi="KaiTi_GB2312" w:eastAsia="KaiTi_GB2312" w:cs="KaiTi_GB2312"/>
          <w:b/>
          <w:bCs/>
          <w:snapToGrid w:val="0"/>
          <w:color w:val="000000"/>
          <w:spacing w:val="6"/>
          <w:kern w:val="0"/>
          <w:sz w:val="31"/>
          <w:szCs w:val="31"/>
          <w:highlight w:val="none"/>
          <w:lang w:val="en-US" w:eastAsia="zh-Hans"/>
        </w:rPr>
      </w:pPr>
      <w:r>
        <w:rPr>
          <w:rFonts w:hint="default" w:ascii="KaiTi_GB2312" w:hAnsi="KaiTi_GB2312" w:eastAsia="KaiTi_GB2312" w:cs="KaiTi_GB2312"/>
          <w:b/>
          <w:bCs/>
          <w:snapToGrid w:val="0"/>
          <w:color w:val="000000"/>
          <w:spacing w:val="6"/>
          <w:kern w:val="0"/>
          <w:sz w:val="31"/>
          <w:szCs w:val="31"/>
          <w:highlight w:val="none"/>
          <w:lang w:val="en-US" w:eastAsia="zh-Hans"/>
        </w:rPr>
        <w:t>二、政府性基金预算</w:t>
      </w:r>
      <w:r>
        <w:rPr>
          <w:rFonts w:hint="default" w:ascii="KaiTi_GB2312" w:hAnsi="KaiTi_GB2312" w:eastAsia="KaiTi_GB2312" w:cs="KaiTi_GB2312"/>
          <w:b/>
          <w:bCs/>
          <w:snapToGrid w:val="0"/>
          <w:color w:val="000000"/>
          <w:spacing w:val="6"/>
          <w:kern w:val="0"/>
          <w:sz w:val="31"/>
          <w:szCs w:val="31"/>
          <w:highlight w:val="none"/>
          <w:lang w:val="en-US" w:eastAsia="zh-CN"/>
        </w:rPr>
        <w:t>公开表</w:t>
      </w:r>
    </w:p>
    <w:tbl>
      <w:tblPr>
        <w:tblStyle w:val="8"/>
        <w:tblW w:w="89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37"/>
        <w:gridCol w:w="3405"/>
        <w:gridCol w:w="1410"/>
        <w:gridCol w:w="1529"/>
        <w:gridCol w:w="15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6" w:hRule="atLeast"/>
        </w:trPr>
        <w:tc>
          <w:tcPr>
            <w:tcW w:w="1037"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表9</w:t>
            </w:r>
          </w:p>
        </w:tc>
        <w:tc>
          <w:tcPr>
            <w:tcW w:w="340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41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52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582"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7" w:hRule="atLeast"/>
        </w:trPr>
        <w:tc>
          <w:tcPr>
            <w:tcW w:w="8963"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highlight w:val="none"/>
                <w:u w:val="none"/>
              </w:rPr>
            </w:pPr>
            <w:r>
              <w:rPr>
                <w:rFonts w:hint="eastAsia" w:ascii="宋体" w:hAnsi="宋体" w:eastAsia="宋体" w:cs="宋体"/>
                <w:b/>
                <w:i w:val="0"/>
                <w:snapToGrid w:val="0"/>
                <w:color w:val="000000"/>
                <w:kern w:val="0"/>
                <w:sz w:val="28"/>
                <w:szCs w:val="28"/>
                <w:highlight w:val="none"/>
                <w:u w:val="none"/>
                <w:lang w:val="en-US" w:eastAsia="zh-CN" w:bidi="ar"/>
              </w:rPr>
              <w:t>2026年高昌区政府性基金收入表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trPr>
        <w:tc>
          <w:tcPr>
            <w:tcW w:w="103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40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1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52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582"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4" w:hRule="atLeast"/>
        </w:trPr>
        <w:tc>
          <w:tcPr>
            <w:tcW w:w="103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科目编码</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项   目</w:t>
            </w:r>
          </w:p>
        </w:tc>
        <w:tc>
          <w:tcPr>
            <w:tcW w:w="141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2025</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年预算数</w:t>
            </w:r>
          </w:p>
        </w:tc>
        <w:tc>
          <w:tcPr>
            <w:tcW w:w="152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2026</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年预算数</w:t>
            </w:r>
          </w:p>
        </w:tc>
        <w:tc>
          <w:tcPr>
            <w:tcW w:w="158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比上年预算数增</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减</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4"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政府性基金收入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71500 </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61500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4"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1030148</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国有土地使用权出让收入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70000 </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60000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4"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103014801</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土地出让价款收入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70000 </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60000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4"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1030156</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城市基础设施配套费收入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1500 </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1500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4"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10310</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专项债务对应项目专项收入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13000 </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12000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04"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1031099</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其他政府性基金专项债务对应项目专项收入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13000 </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12000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62" w:hRule="atLeast"/>
        </w:trPr>
        <w:tc>
          <w:tcPr>
            <w:tcW w:w="10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103109998</w:t>
            </w:r>
          </w:p>
        </w:tc>
        <w:tc>
          <w:tcPr>
            <w:tcW w:w="34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其他地方自行试点项目收益专项债券对应项目专项收入</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13000 </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12000 </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6" w:hRule="atLeast"/>
        </w:trPr>
        <w:tc>
          <w:tcPr>
            <w:tcW w:w="44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政府性基金收入合计</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 xml:space="preserve">    84500</w:t>
            </w:r>
          </w:p>
        </w:tc>
        <w:tc>
          <w:tcPr>
            <w:tcW w:w="15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73500</w:t>
            </w:r>
          </w:p>
        </w:tc>
        <w:tc>
          <w:tcPr>
            <w:tcW w:w="1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-13.02%</w:t>
            </w:r>
          </w:p>
        </w:tc>
      </w:tr>
    </w:tbl>
    <w:p>
      <w:pPr>
        <w:rPr>
          <w:rFonts w:hint="default" w:ascii="Times New Roman" w:hAnsi="Times New Roman" w:cs="Times New Roman"/>
          <w:highlight w:val="none"/>
        </w:rPr>
      </w:pPr>
    </w:p>
    <w:tbl>
      <w:tblPr>
        <w:tblStyle w:val="8"/>
        <w:tblW w:w="9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2"/>
        <w:gridCol w:w="3270"/>
        <w:gridCol w:w="1425"/>
        <w:gridCol w:w="1620"/>
        <w:gridCol w:w="1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992"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表10</w:t>
            </w:r>
          </w:p>
        </w:tc>
        <w:tc>
          <w:tcPr>
            <w:tcW w:w="327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42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62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69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75" w:hRule="atLeast"/>
        </w:trPr>
        <w:tc>
          <w:tcPr>
            <w:tcW w:w="900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highlight w:val="none"/>
                <w:u w:val="none"/>
              </w:rPr>
            </w:pPr>
            <w:r>
              <w:rPr>
                <w:rFonts w:hint="eastAsia" w:ascii="宋体" w:hAnsi="宋体" w:eastAsia="宋体" w:cs="宋体"/>
                <w:b/>
                <w:i w:val="0"/>
                <w:snapToGrid w:val="0"/>
                <w:color w:val="000000"/>
                <w:kern w:val="0"/>
                <w:sz w:val="28"/>
                <w:szCs w:val="28"/>
                <w:highlight w:val="none"/>
                <w:u w:val="none"/>
                <w:lang w:val="en-US" w:eastAsia="zh-CN" w:bidi="ar"/>
              </w:rPr>
              <w:t>2026年高昌区政府性基金收入表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99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327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2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620"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693"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4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科目编码</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项   目</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2025</w:t>
            </w: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年预算数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2026</w:t>
            </w: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年预算数</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比上年预算数增</w:t>
            </w: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减</w:t>
            </w: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207</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文化旅游体育与传媒支出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81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81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20709</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旅游发展基金支出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81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81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2070903</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旅游事业补助</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81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81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212</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城乡社区支出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37094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32355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21208</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国有土地使用权出让收入安排的支出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16264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8115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-50.10%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2120899</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其他国有土地使用权出让收入安排的支出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16264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8115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21213</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城市基础设施配套费安排的支出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1500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1704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2121301</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城市公共设施</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1500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1704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21298</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超长期特别国债安排的支出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19330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17900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2129801</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城乡社区公共设施</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19330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14410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213</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农林水支出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305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250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21372</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大中型水库移民后期扶持基金支出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305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250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2137201</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移民补助</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305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250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215</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资源勘探工业信息等支出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3901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21598</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超长期特别国债安排的支出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3901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2159802</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制造业</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3901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229</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其他支出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7313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198280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2611.34%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22904</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其他政府性基金及对应专项债务收入安排的支出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3833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194157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4965.41%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2290402</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其他地方自行试点项目收益专项债券收入安排的支出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3833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194157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4965.41%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22960</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彩票公益金安排的支出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3480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4123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2296002</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用于社会福利的彩票公益金支出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2325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2696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2296003</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用于体育事业的彩票公益金支出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621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774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2296004</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用于教育事业的彩票公益金支出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55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58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2296006</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用于残疾人事业的彩票公益金支出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340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544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2296013</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用于城乡医疗救助的彩票公益金支出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139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-85.61%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232</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债务付息支出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25255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30664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23204</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地方政府专项债务付息支出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25255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30664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2320411</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国有土地使用权出让金债务付息支出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5326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5254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2320433</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棚户区改造专项债券付息支出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6563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6533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2320498</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其他地方自行试点项目收益专项债券付息支出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13366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17229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233</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债务发行费用支出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50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100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23304</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地方政府专项债务发行费用支出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50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100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0" w:hRule="atLeast"/>
        </w:trPr>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2330498</w:t>
            </w:r>
          </w:p>
        </w:tc>
        <w:tc>
          <w:tcPr>
            <w:tcW w:w="32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其他地方自行试点项目收益专项债券发行费用支出</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50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100 </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42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政府性基金支出合计</w:t>
            </w:r>
          </w:p>
        </w:tc>
        <w:tc>
          <w:tcPr>
            <w:tcW w:w="1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73999</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261777</w:t>
            </w:r>
          </w:p>
        </w:tc>
        <w:tc>
          <w:tcPr>
            <w:tcW w:w="16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253.76%</w:t>
            </w:r>
          </w:p>
        </w:tc>
      </w:tr>
    </w:tbl>
    <w:p>
      <w:pPr>
        <w:jc w:val="both"/>
        <w:rPr>
          <w:rFonts w:hint="default" w:ascii="Times New Roman" w:hAnsi="Times New Roman" w:cs="Times New Roman"/>
          <w:b/>
          <w:bCs/>
          <w:sz w:val="24"/>
          <w:szCs w:val="24"/>
          <w:highlight w:val="none"/>
          <w:lang w:val="en-US" w:eastAsia="zh-Hans"/>
        </w:rPr>
      </w:pPr>
    </w:p>
    <w:p>
      <w:pPr>
        <w:jc w:val="center"/>
        <w:rPr>
          <w:rFonts w:hint="default" w:ascii="Times New Roman" w:hAnsi="Times New Roman" w:cs="Times New Roman"/>
          <w:b/>
          <w:bCs/>
          <w:sz w:val="24"/>
          <w:szCs w:val="24"/>
          <w:highlight w:val="none"/>
          <w:lang w:val="en-US" w:eastAsia="zh-Hans"/>
        </w:rPr>
      </w:pPr>
    </w:p>
    <w:tbl>
      <w:tblPr>
        <w:tblStyle w:val="8"/>
        <w:tblW w:w="9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71"/>
        <w:gridCol w:w="3166"/>
        <w:gridCol w:w="1485"/>
        <w:gridCol w:w="1605"/>
        <w:gridCol w:w="18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1" w:hRule="atLeast"/>
        </w:trPr>
        <w:tc>
          <w:tcPr>
            <w:tcW w:w="1171"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表11</w:t>
            </w:r>
          </w:p>
        </w:tc>
        <w:tc>
          <w:tcPr>
            <w:tcW w:w="316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48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60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89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6" w:hRule="atLeast"/>
        </w:trPr>
        <w:tc>
          <w:tcPr>
            <w:tcW w:w="932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b/>
                <w:i w:val="0"/>
                <w:snapToGrid w:val="0"/>
                <w:color w:val="000000"/>
                <w:kern w:val="0"/>
                <w:sz w:val="28"/>
                <w:szCs w:val="28"/>
                <w:highlight w:val="none"/>
                <w:u w:val="none"/>
                <w:lang w:val="en-US" w:eastAsia="zh-CN" w:bidi="ar"/>
              </w:rPr>
              <w:t>2026年高昌区本级政府性基金收入表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atLeast"/>
        </w:trPr>
        <w:tc>
          <w:tcPr>
            <w:tcW w:w="1171"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3166"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485"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605"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893"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8"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科目编码</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项   目</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2025年完成数</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2026年预算数</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比上年预算数增</w:t>
            </w:r>
            <w:r>
              <w:rPr>
                <w:rFonts w:hint="eastAsia" w:cs="Times New Roman"/>
                <w:b/>
                <w:bCs/>
                <w:i w:val="0"/>
                <w:color w:val="000000"/>
                <w:kern w:val="0"/>
                <w:sz w:val="22"/>
                <w:szCs w:val="22"/>
                <w:highlight w:val="none"/>
                <w:u w:val="none"/>
                <w:lang w:val="en-US" w:eastAsia="zh-CN" w:bidi="ar"/>
              </w:rPr>
              <w:t>（</w:t>
            </w:r>
            <w:r>
              <w:rPr>
                <w:rFonts w:hint="default" w:ascii="Times New Roman" w:hAnsi="Times New Roman" w:eastAsia="宋体" w:cs="Times New Roman"/>
                <w:b/>
                <w:bCs/>
                <w:i w:val="0"/>
                <w:color w:val="000000"/>
                <w:kern w:val="0"/>
                <w:sz w:val="22"/>
                <w:szCs w:val="22"/>
                <w:highlight w:val="none"/>
                <w:u w:val="none"/>
                <w:lang w:val="en-US" w:eastAsia="zh-CN" w:bidi="ar"/>
              </w:rPr>
              <w:t>减</w:t>
            </w:r>
            <w:r>
              <w:rPr>
                <w:rFonts w:hint="eastAsia" w:cs="Times New Roman"/>
                <w:b/>
                <w:bCs/>
                <w:i w:val="0"/>
                <w:color w:val="000000"/>
                <w:kern w:val="0"/>
                <w:sz w:val="22"/>
                <w:szCs w:val="22"/>
                <w:highlight w:val="none"/>
                <w:u w:val="none"/>
                <w:lang w:val="en-US" w:eastAsia="zh-CN" w:bidi="ar"/>
              </w:rPr>
              <w:t>）</w:t>
            </w:r>
            <w:r>
              <w:rPr>
                <w:rFonts w:hint="default" w:ascii="Times New Roman" w:hAnsi="Times New Roman" w:eastAsia="宋体" w:cs="Times New Roman"/>
                <w:b/>
                <w:bCs/>
                <w:i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4"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政府性基金收入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71500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61500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4"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1030148</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国有土地使用权出让收入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70000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60000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4"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103014801</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土地出让价款收入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70000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60000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4"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1030156</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城市基础设施配套费收入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1500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4"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10310</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专项债务对应项目专项收入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13000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12000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4"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1031099</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其他政府性基金专项债务对应项目专项收入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13000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12000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0"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103109998</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其他地方自行试点项目收益专项债券对应项目专项收入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13000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12000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4" w:hRule="atLeast"/>
        </w:trPr>
        <w:tc>
          <w:tcPr>
            <w:tcW w:w="43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收入小计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84500</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73500</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110</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转移性收入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31559 </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220967 </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600.17%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31"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11004</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政府性基金转移支付收入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1167 </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3371 </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188.86%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11008</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上年结余收入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30392 </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217596 </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615.96%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 w:hRule="atLeast"/>
        </w:trPr>
        <w:tc>
          <w:tcPr>
            <w:tcW w:w="11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1100802</w:t>
            </w:r>
          </w:p>
        </w:tc>
        <w:tc>
          <w:tcPr>
            <w:tcW w:w="3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政府性基金预算上年结余收入</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30392 </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217596 </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615.96%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1" w:hRule="atLeast"/>
        </w:trPr>
        <w:tc>
          <w:tcPr>
            <w:tcW w:w="433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收入总计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116059 </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294467 </w:t>
            </w:r>
          </w:p>
        </w:tc>
        <w:tc>
          <w:tcPr>
            <w:tcW w:w="18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153.72%</w:t>
            </w:r>
          </w:p>
        </w:tc>
      </w:tr>
    </w:tbl>
    <w:p>
      <w:pPr>
        <w:jc w:val="both"/>
        <w:rPr>
          <w:rFonts w:hint="eastAsia" w:ascii="Times New Roman" w:hAnsi="Times New Roman" w:eastAsia="宋体" w:cs="Times New Roman"/>
          <w:b/>
          <w:bCs/>
          <w:sz w:val="24"/>
          <w:szCs w:val="24"/>
          <w:highlight w:val="none"/>
          <w:lang w:val="en-US" w:eastAsia="zh-CN"/>
        </w:rPr>
      </w:pPr>
    </w:p>
    <w:tbl>
      <w:tblPr>
        <w:tblStyle w:val="8"/>
        <w:tblW w:w="9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51"/>
        <w:gridCol w:w="3685"/>
        <w:gridCol w:w="1572"/>
        <w:gridCol w:w="1718"/>
        <w:gridCol w:w="13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98" w:hRule="atLeast"/>
        </w:trPr>
        <w:tc>
          <w:tcPr>
            <w:tcW w:w="951"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 xml:space="preserve">表12 </w:t>
            </w:r>
          </w:p>
        </w:tc>
        <w:tc>
          <w:tcPr>
            <w:tcW w:w="368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572"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71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1374"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9300"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b/>
                <w:i w:val="0"/>
                <w:snapToGrid w:val="0"/>
                <w:color w:val="000000"/>
                <w:kern w:val="0"/>
                <w:sz w:val="28"/>
                <w:szCs w:val="28"/>
                <w:highlight w:val="none"/>
                <w:u w:val="none"/>
                <w:lang w:val="en-US" w:eastAsia="zh-CN" w:bidi="ar"/>
              </w:rPr>
              <w:t>2026年高昌区本级政府性基金支出表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8" w:hRule="atLeast"/>
        </w:trPr>
        <w:tc>
          <w:tcPr>
            <w:tcW w:w="951"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3685"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572"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718" w:type="dxa"/>
            <w:tcBorders>
              <w:top w:val="nil"/>
              <w:left w:val="nil"/>
              <w:bottom w:val="nil"/>
              <w:right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0"/>
                <w:szCs w:val="20"/>
                <w:highlight w:val="none"/>
                <w:u w:val="none"/>
              </w:rPr>
            </w:pPr>
          </w:p>
        </w:tc>
        <w:tc>
          <w:tcPr>
            <w:tcW w:w="1374"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ind w:firstLine="220" w:firstLineChars="100"/>
              <w:jc w:val="left"/>
              <w:textAlignment w:val="center"/>
              <w:rPr>
                <w:rFonts w:hint="eastAsia" w:ascii="宋体" w:hAnsi="宋体" w:eastAsia="宋体" w:cs="宋体"/>
                <w:i w:val="0"/>
                <w:color w:val="000000"/>
                <w:sz w:val="20"/>
                <w:szCs w:val="20"/>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26"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科目编码</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   目</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2025年完成数</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2026年预算数</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比上年预算数增（减）</w:t>
            </w: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207</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文化旅游体育与传媒支出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81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81</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20709</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旅游发展基金支出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81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81</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2070903</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旅游事业补助</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81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81</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212</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城乡社区支出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37094</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32355</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21208</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国有土地使用权出让收入安排的支出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16264</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8115</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2120899</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其他国有土地使用权出让收入安排的支出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16264</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8115</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21213</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城市基础设施配套费安排的支出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1500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1704</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2121301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城市公共设施</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1500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1704</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21215</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土地储备专项债券收入安排的支出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4636</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2121599</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其他土地储备专项债券收入安排的支出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4636</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21298</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超长期特别国债安排的支出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19330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17900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2129801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城乡社区公共设施</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19330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14410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2129899</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其他城乡社区支出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3490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213</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农林水支出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305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250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21372</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大中型水库移民后期扶持基金支出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305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250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2137201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移民补助</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305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250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215</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资源勘探工业信息等支出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3901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21598</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超长期特别国债安排的支出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3901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2159802</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制造业</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3901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220</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自然资源海洋气象等支出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47</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22006</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耕地保护考核奖惩基金支出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47</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2200601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耕地保护</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47</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229</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其他支出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7313</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198280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2611.3%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22904</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其他政府性基金及对应专项债务收入安排的支出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3833</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194157</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4965.4%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2290401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其他政府性基金安排的支出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2290402</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其他地方自行试点项目收益专项债券收入安排的支出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3833</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194157</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4965.4%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22960</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彩票公益金安排的支出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3480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4123</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2296002</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用于社会福利的彩票公益金支出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2696</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2296003</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用于体育事业的彩票公益金支出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621</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774</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2296004</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用于教育事业的彩票公益金支出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58</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2296006</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用于残疾人事业的彩票公益金支出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340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544</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2296013</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用于城乡医疗救助的彩票公益金支出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139</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-85.6%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232</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债务付息支出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25255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30664</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23204</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地方政府专项债务付息支出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25255</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30664</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21.4%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2320411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国有土地使用权出让金债务付息支出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5326</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5254</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2320431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土地储备专项债券付息支出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326</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2320433</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棚户区改造专项债券付息支出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6563</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6533</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2320498</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其他地方自行试点项目收益专项债券付息支出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13366</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17229</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28.9%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2320499</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其他政府性基金债务付息支出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1322</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233</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债务发行费用支出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50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100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23304</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地方政府专项债务发行费用支出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50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100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7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2330498</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其他地方自行试点项目收益专项债券发行费用支出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50</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100</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 xml:space="preserve">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4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lang w:val="en-US" w:eastAsia="zh-CN" w:bidi="ar"/>
              </w:rPr>
              <w:t>支出小计</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73999</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4"/>
                <w:szCs w:val="24"/>
                <w:highlight w:val="none"/>
                <w:u w:val="none"/>
              </w:rPr>
            </w:pPr>
            <w:r>
              <w:rPr>
                <w:rFonts w:hint="default" w:ascii="Times New Roman" w:hAnsi="Times New Roman" w:eastAsia="宋体" w:cs="Times New Roman"/>
                <w:b/>
                <w:bCs/>
                <w:i w:val="0"/>
                <w:color w:val="000000"/>
                <w:kern w:val="0"/>
                <w:sz w:val="24"/>
                <w:szCs w:val="24"/>
                <w:highlight w:val="none"/>
                <w:u w:val="none"/>
                <w:lang w:val="en-US" w:eastAsia="zh-CN" w:bidi="ar"/>
              </w:rPr>
              <w:t>261777</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230</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转移性支出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40000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30000 </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FF0000"/>
                <w:kern w:val="0"/>
                <w:sz w:val="22"/>
                <w:szCs w:val="22"/>
                <w:highlight w:val="none"/>
                <w:u w:val="none"/>
                <w:lang w:val="en-US" w:eastAsia="zh-CN" w:bidi="ar"/>
              </w:rPr>
              <w:t xml:space="preserve">-25.0%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23008</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调出资金</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40000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30000 </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FF0000"/>
                <w:kern w:val="0"/>
                <w:sz w:val="22"/>
                <w:szCs w:val="22"/>
                <w:highlight w:val="none"/>
                <w:u w:val="none"/>
                <w:lang w:val="en-US" w:eastAsia="zh-CN" w:bidi="ar"/>
              </w:rPr>
              <w:t xml:space="preserve">-25.0%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2300802</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政府性基金预算调出资金</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40000 </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000000"/>
                <w:kern w:val="0"/>
                <w:sz w:val="22"/>
                <w:szCs w:val="22"/>
                <w:highlight w:val="none"/>
                <w:u w:val="none"/>
                <w:lang w:val="en-US" w:eastAsia="zh-CN" w:bidi="ar"/>
              </w:rPr>
              <w:t xml:space="preserve">30000 </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highlight w:val="none"/>
                <w:u w:val="none"/>
              </w:rPr>
            </w:pPr>
            <w:r>
              <w:rPr>
                <w:rFonts w:hint="default" w:ascii="Times New Roman" w:hAnsi="Times New Roman" w:eastAsia="宋体" w:cs="Times New Roman"/>
                <w:i w:val="0"/>
                <w:color w:val="FF0000"/>
                <w:kern w:val="0"/>
                <w:sz w:val="22"/>
                <w:szCs w:val="22"/>
                <w:highlight w:val="none"/>
                <w:u w:val="none"/>
                <w:lang w:val="en-US" w:eastAsia="zh-CN" w:bidi="ar"/>
              </w:rPr>
              <w:t xml:space="preserve">-25.0%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231</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债务还本支出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2060 </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2690 </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9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23104</w:t>
            </w:r>
          </w:p>
        </w:tc>
        <w:tc>
          <w:tcPr>
            <w:tcW w:w="36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地方政府专项债务还本支出</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2060 </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2690 </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2" w:hRule="atLeast"/>
        </w:trPr>
        <w:tc>
          <w:tcPr>
            <w:tcW w:w="463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支出合计</w:t>
            </w:r>
          </w:p>
        </w:tc>
        <w:tc>
          <w:tcPr>
            <w:tcW w:w="15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116059 </w:t>
            </w:r>
          </w:p>
        </w:tc>
        <w:tc>
          <w:tcPr>
            <w:tcW w:w="1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b/>
                <w:bCs/>
                <w:i w:val="0"/>
                <w:color w:val="000000"/>
                <w:sz w:val="22"/>
                <w:szCs w:val="22"/>
                <w:highlight w:val="none"/>
                <w:u w:val="none"/>
              </w:rPr>
            </w:pPr>
            <w:r>
              <w:rPr>
                <w:rFonts w:hint="default" w:ascii="Times New Roman" w:hAnsi="Times New Roman" w:eastAsia="宋体" w:cs="Times New Roman"/>
                <w:b/>
                <w:bCs/>
                <w:i w:val="0"/>
                <w:color w:val="000000"/>
                <w:kern w:val="0"/>
                <w:sz w:val="22"/>
                <w:szCs w:val="22"/>
                <w:highlight w:val="none"/>
                <w:u w:val="none"/>
                <w:lang w:val="en-US" w:eastAsia="zh-CN" w:bidi="ar"/>
              </w:rPr>
              <w:t xml:space="preserve">294467 </w:t>
            </w:r>
          </w:p>
        </w:tc>
        <w:tc>
          <w:tcPr>
            <w:tcW w:w="13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b/>
                <w:bCs/>
                <w:i w:val="0"/>
                <w:color w:val="000000"/>
                <w:sz w:val="22"/>
                <w:szCs w:val="22"/>
                <w:highlight w:val="none"/>
                <w:u w:val="none"/>
              </w:rPr>
            </w:pPr>
          </w:p>
        </w:tc>
      </w:tr>
    </w:tbl>
    <w:p>
      <w:pPr>
        <w:jc w:val="both"/>
        <w:rPr>
          <w:rFonts w:hint="default" w:ascii="Times New Roman" w:hAnsi="Times New Roman" w:cs="Times New Roman"/>
          <w:b w:val="0"/>
          <w:bCs w:val="0"/>
          <w:highlight w:val="none"/>
          <w:lang w:val="en-US" w:eastAsia="zh-Hans"/>
        </w:rPr>
      </w:pPr>
    </w:p>
    <w:p>
      <w:pPr>
        <w:jc w:val="both"/>
        <w:rPr>
          <w:rFonts w:hint="default" w:ascii="Times New Roman" w:hAnsi="Times New Roman" w:cs="Times New Roman"/>
          <w:b w:val="0"/>
          <w:bCs w:val="0"/>
          <w:sz w:val="22"/>
          <w:szCs w:val="22"/>
          <w:highlight w:val="none"/>
          <w:lang w:val="en-US" w:eastAsia="zh-Hans"/>
        </w:rPr>
      </w:pPr>
    </w:p>
    <w:tbl>
      <w:tblPr>
        <w:tblStyle w:val="8"/>
        <w:tblW w:w="89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346"/>
        <w:gridCol w:w="1550"/>
        <w:gridCol w:w="1300"/>
        <w:gridCol w:w="140"/>
        <w:gridCol w:w="1160"/>
        <w:gridCol w:w="10"/>
        <w:gridCol w:w="1290"/>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2346" w:type="dxa"/>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b w:val="0"/>
                <w:bCs w:val="0"/>
                <w:i w:val="0"/>
                <w:snapToGrid w:val="0"/>
                <w:color w:val="000000"/>
                <w:kern w:val="0"/>
                <w:sz w:val="22"/>
                <w:szCs w:val="22"/>
                <w:highlight w:val="none"/>
                <w:u w:val="none"/>
                <w:lang w:val="en-US" w:eastAsia="zh-CN" w:bidi="ar"/>
              </w:rPr>
              <w:t>表13</w:t>
            </w:r>
          </w:p>
        </w:tc>
        <w:tc>
          <w:tcPr>
            <w:tcW w:w="1550" w:type="dxa"/>
            <w:vAlign w:val="center"/>
          </w:tcPr>
          <w:p>
            <w:pPr>
              <w:rPr>
                <w:rFonts w:hint="default" w:ascii="Times New Roman" w:hAnsi="Times New Roman" w:eastAsia="宋体" w:cs="Times New Roman"/>
                <w:i w:val="0"/>
                <w:color w:val="000000"/>
                <w:sz w:val="24"/>
                <w:szCs w:val="24"/>
                <w:highlight w:val="none"/>
                <w:u w:val="none"/>
              </w:rPr>
            </w:pPr>
          </w:p>
        </w:tc>
        <w:tc>
          <w:tcPr>
            <w:tcW w:w="1440"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170"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290" w:type="dxa"/>
            <w:vAlign w:val="center"/>
          </w:tcPr>
          <w:p>
            <w:pPr>
              <w:rPr>
                <w:rFonts w:hint="default" w:ascii="Times New Roman" w:hAnsi="Times New Roman" w:eastAsia="宋体" w:cs="Times New Roman"/>
                <w:i w:val="0"/>
                <w:color w:val="000000"/>
                <w:sz w:val="24"/>
                <w:szCs w:val="24"/>
                <w:highlight w:val="none"/>
                <w:u w:val="none"/>
              </w:rPr>
            </w:pPr>
          </w:p>
        </w:tc>
        <w:tc>
          <w:tcPr>
            <w:tcW w:w="1150" w:type="dxa"/>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8946" w:type="dxa"/>
            <w:gridSpan w:val="8"/>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eastAsia="zh-CN" w:bidi="ar"/>
              </w:rPr>
            </w:pPr>
            <w:r>
              <w:rPr>
                <w:rFonts w:hint="eastAsia" w:ascii="宋体" w:hAnsi="宋体" w:eastAsia="宋体" w:cs="宋体"/>
                <w:b/>
                <w:i w:val="0"/>
                <w:snapToGrid w:val="0"/>
                <w:color w:val="000000"/>
                <w:kern w:val="0"/>
                <w:sz w:val="28"/>
                <w:szCs w:val="28"/>
                <w:highlight w:val="none"/>
                <w:u w:val="none"/>
                <w:lang w:val="en-US" w:eastAsia="zh-CN" w:bidi="ar"/>
              </w:rPr>
              <w:t>2026</w:t>
            </w:r>
            <w:r>
              <w:rPr>
                <w:rFonts w:hint="default" w:ascii="宋体" w:hAnsi="宋体" w:eastAsia="宋体" w:cs="宋体"/>
                <w:b/>
                <w:i w:val="0"/>
                <w:snapToGrid w:val="0"/>
                <w:color w:val="000000"/>
                <w:kern w:val="0"/>
                <w:sz w:val="28"/>
                <w:szCs w:val="28"/>
                <w:highlight w:val="none"/>
                <w:u w:val="none"/>
                <w:lang w:val="en-US" w:eastAsia="zh-Hans" w:bidi="ar"/>
              </w:rPr>
              <w:t>年</w:t>
            </w:r>
            <w:r>
              <w:rPr>
                <w:rFonts w:hint="eastAsia" w:ascii="宋体" w:hAnsi="宋体" w:eastAsia="宋体" w:cs="宋体"/>
                <w:b/>
                <w:i w:val="0"/>
                <w:snapToGrid w:val="0"/>
                <w:color w:val="000000"/>
                <w:kern w:val="0"/>
                <w:sz w:val="28"/>
                <w:szCs w:val="28"/>
                <w:highlight w:val="none"/>
                <w:u w:val="none"/>
                <w:lang w:val="en-US" w:eastAsia="zh-CN" w:bidi="ar"/>
              </w:rPr>
              <w:t>高昌区政府性基金预算</w:t>
            </w:r>
            <w:r>
              <w:rPr>
                <w:rFonts w:hint="default" w:ascii="宋体" w:hAnsi="宋体" w:eastAsia="宋体" w:cs="宋体"/>
                <w:b/>
                <w:i w:val="0"/>
                <w:snapToGrid w:val="0"/>
                <w:color w:val="000000"/>
                <w:kern w:val="0"/>
                <w:sz w:val="28"/>
                <w:szCs w:val="28"/>
                <w:highlight w:val="none"/>
                <w:u w:val="none"/>
                <w:lang w:val="en-US" w:eastAsia="zh-Hans" w:bidi="ar"/>
              </w:rPr>
              <w:t>对下转移支付安排情况</w:t>
            </w:r>
            <w:r>
              <w:rPr>
                <w:rFonts w:hint="eastAsia" w:ascii="宋体" w:hAnsi="宋体" w:eastAsia="宋体" w:cs="宋体"/>
                <w:b/>
                <w:i w:val="0"/>
                <w:snapToGrid w:val="0"/>
                <w:color w:val="000000"/>
                <w:kern w:val="0"/>
                <w:sz w:val="28"/>
                <w:szCs w:val="28"/>
                <w:highlight w:val="none"/>
                <w:u w:val="none"/>
                <w:lang w:val="en-US" w:eastAsia="zh-CN" w:bidi="ar"/>
              </w:rPr>
              <w:t>表</w:t>
            </w:r>
            <w:r>
              <w:rPr>
                <w:rFonts w:hint="default" w:ascii="宋体" w:hAnsi="宋体" w:eastAsia="宋体" w:cs="宋体"/>
                <w:b/>
                <w:i w:val="0"/>
                <w:snapToGrid w:val="0"/>
                <w:color w:val="000000"/>
                <w:kern w:val="0"/>
                <w:sz w:val="28"/>
                <w:szCs w:val="28"/>
                <w:highlight w:val="none"/>
                <w:u w:val="none"/>
                <w:lang w:val="en-US" w:eastAsia="zh-Hans" w:bidi="ar"/>
              </w:rPr>
              <w:t>（</w:t>
            </w:r>
            <w:r>
              <w:rPr>
                <w:rFonts w:hint="default" w:ascii="宋体" w:hAnsi="宋体" w:eastAsia="宋体" w:cs="宋体"/>
                <w:b/>
                <w:i w:val="0"/>
                <w:snapToGrid w:val="0"/>
                <w:color w:val="000000"/>
                <w:kern w:val="0"/>
                <w:sz w:val="28"/>
                <w:szCs w:val="28"/>
                <w:highlight w:val="none"/>
                <w:u w:val="none"/>
                <w:lang w:val="en-US" w:eastAsia="zh-CN" w:bidi="ar"/>
              </w:rPr>
              <w:t>分地区、项目</w:t>
            </w:r>
            <w:r>
              <w:rPr>
                <w:rFonts w:hint="default" w:ascii="宋体" w:hAnsi="宋体" w:eastAsia="宋体" w:cs="宋体"/>
                <w:b/>
                <w:i w:val="0"/>
                <w:snapToGrid w:val="0"/>
                <w:color w:val="000000"/>
                <w:kern w:val="0"/>
                <w:sz w:val="28"/>
                <w:szCs w:val="28"/>
                <w:highlight w:val="none"/>
                <w:u w:val="none"/>
                <w:lang w:val="en-US" w:eastAsia="zh-Hans"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346" w:type="dxa"/>
            <w:vAlign w:val="center"/>
          </w:tcPr>
          <w:p>
            <w:pPr>
              <w:jc w:val="center"/>
              <w:rPr>
                <w:rFonts w:hint="default" w:ascii="Times New Roman" w:hAnsi="Times New Roman" w:eastAsia="宋体" w:cs="Times New Roman"/>
                <w:i w:val="0"/>
                <w:color w:val="000000"/>
                <w:sz w:val="20"/>
                <w:szCs w:val="20"/>
                <w:highlight w:val="none"/>
                <w:u w:val="none"/>
              </w:rPr>
            </w:pPr>
          </w:p>
        </w:tc>
        <w:tc>
          <w:tcPr>
            <w:tcW w:w="1550" w:type="dxa"/>
            <w:vAlign w:val="center"/>
          </w:tcPr>
          <w:p>
            <w:pPr>
              <w:jc w:val="center"/>
              <w:rPr>
                <w:rFonts w:hint="default" w:ascii="Times New Roman" w:hAnsi="Times New Roman" w:eastAsia="宋体" w:cs="Times New Roman"/>
                <w:i w:val="0"/>
                <w:color w:val="000000"/>
                <w:sz w:val="20"/>
                <w:szCs w:val="20"/>
                <w:highlight w:val="none"/>
                <w:u w:val="none"/>
              </w:rPr>
            </w:pPr>
          </w:p>
        </w:tc>
        <w:tc>
          <w:tcPr>
            <w:tcW w:w="1440" w:type="dxa"/>
            <w:gridSpan w:val="2"/>
            <w:vAlign w:val="center"/>
          </w:tcPr>
          <w:p>
            <w:pPr>
              <w:jc w:val="center"/>
              <w:rPr>
                <w:rFonts w:hint="default" w:ascii="Times New Roman" w:hAnsi="Times New Roman" w:eastAsia="宋体" w:cs="Times New Roman"/>
                <w:i w:val="0"/>
                <w:color w:val="000000"/>
                <w:sz w:val="20"/>
                <w:szCs w:val="20"/>
                <w:highlight w:val="none"/>
                <w:u w:val="none"/>
              </w:rPr>
            </w:pPr>
          </w:p>
        </w:tc>
        <w:tc>
          <w:tcPr>
            <w:tcW w:w="1170" w:type="dxa"/>
            <w:gridSpan w:val="2"/>
            <w:vAlign w:val="center"/>
          </w:tcPr>
          <w:p>
            <w:pPr>
              <w:jc w:val="center"/>
              <w:rPr>
                <w:rFonts w:hint="default" w:ascii="Times New Roman" w:hAnsi="Times New Roman" w:eastAsia="宋体" w:cs="Times New Roman"/>
                <w:i w:val="0"/>
                <w:color w:val="000000"/>
                <w:sz w:val="20"/>
                <w:szCs w:val="20"/>
                <w:highlight w:val="none"/>
                <w:u w:val="none"/>
              </w:rPr>
            </w:pPr>
          </w:p>
        </w:tc>
        <w:tc>
          <w:tcPr>
            <w:tcW w:w="1290" w:type="dxa"/>
            <w:vAlign w:val="center"/>
          </w:tcPr>
          <w:p>
            <w:pPr>
              <w:jc w:val="center"/>
              <w:rPr>
                <w:rFonts w:hint="default" w:ascii="Times New Roman" w:hAnsi="Times New Roman" w:eastAsia="宋体" w:cs="Times New Roman"/>
                <w:i w:val="0"/>
                <w:color w:val="000000"/>
                <w:sz w:val="20"/>
                <w:szCs w:val="20"/>
                <w:highlight w:val="none"/>
                <w:u w:val="none"/>
              </w:rPr>
            </w:pPr>
          </w:p>
        </w:tc>
        <w:tc>
          <w:tcPr>
            <w:tcW w:w="1150" w:type="dxa"/>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单位：万元</w:t>
            </w:r>
            <w:r>
              <w:rPr>
                <w:rFonts w:hint="default" w:ascii="Times New Roman" w:hAnsi="Times New Roman" w:eastAsia="宋体" w:cs="Times New Roman"/>
                <w:i w:val="0"/>
                <w:color w:val="000000"/>
                <w:kern w:val="0"/>
                <w:sz w:val="20"/>
                <w:szCs w:val="20"/>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项目名称</w:t>
            </w:r>
          </w:p>
        </w:tc>
        <w:tc>
          <w:tcPr>
            <w:tcW w:w="15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13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县、市名称</w:t>
            </w: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县、市名称</w:t>
            </w: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县、市名称</w:t>
            </w:r>
          </w:p>
        </w:tc>
        <w:tc>
          <w:tcPr>
            <w:tcW w:w="11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60" w:hRule="atLeast"/>
        </w:trPr>
        <w:tc>
          <w:tcPr>
            <w:tcW w:w="2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政府性基金转移支付</w:t>
            </w:r>
          </w:p>
        </w:tc>
        <w:tc>
          <w:tcPr>
            <w:tcW w:w="15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1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3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sz w:val="20"/>
                <w:szCs w:val="20"/>
                <w:highlight w:val="none"/>
                <w:u w:val="none"/>
              </w:rPr>
              <w:t>.....</w:t>
            </w:r>
          </w:p>
        </w:tc>
        <w:tc>
          <w:tcPr>
            <w:tcW w:w="15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300" w:type="dxa"/>
            <w:gridSpan w:val="2"/>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000000"/>
                <w:sz w:val="20"/>
                <w:szCs w:val="20"/>
                <w:highlight w:val="none"/>
                <w:u w:val="none"/>
              </w:rPr>
            </w:pPr>
          </w:p>
        </w:tc>
      </w:tr>
    </w:tbl>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firstLine="436" w:firstLineChars="200"/>
        <w:jc w:val="both"/>
        <w:textAlignment w:val="baseline"/>
        <w:rPr>
          <w:rFonts w:hint="default" w:ascii="Times New Roman" w:hAnsi="Times New Roman" w:eastAsia="楷体_GB2312" w:cs="Times New Roman"/>
          <w:b/>
          <w:bCs w:val="0"/>
          <w:kern w:val="0"/>
          <w:sz w:val="32"/>
          <w:szCs w:val="32"/>
          <w:highlight w:val="none"/>
          <w:lang w:val="en-US" w:eastAsia="zh-CN"/>
        </w:rPr>
      </w:pPr>
      <w:r>
        <w:rPr>
          <w:rFonts w:ascii="宋体" w:hAnsi="宋体" w:eastAsia="宋体" w:cs="宋体"/>
          <w:snapToGrid w:val="0"/>
          <w:color w:val="000000"/>
          <w:spacing w:val="-1"/>
          <w:kern w:val="0"/>
          <w:sz w:val="22"/>
          <w:szCs w:val="22"/>
          <w:highlight w:val="none"/>
          <w:lang w:eastAsia="en-US"/>
        </w:rPr>
        <w:t>备注：高昌区本级无对下转移支付支出</w:t>
      </w:r>
    </w:p>
    <w:tbl>
      <w:tblPr>
        <w:tblStyle w:val="8"/>
        <w:tblpPr w:leftFromText="180" w:rightFromText="180" w:vertAnchor="text" w:horzAnchor="page" w:tblpX="375" w:tblpY="598"/>
        <w:tblOverlap w:val="never"/>
        <w:tblW w:w="10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518"/>
        <w:gridCol w:w="664"/>
        <w:gridCol w:w="1"/>
        <w:gridCol w:w="664"/>
        <w:gridCol w:w="666"/>
        <w:gridCol w:w="664"/>
        <w:gridCol w:w="664"/>
        <w:gridCol w:w="1"/>
        <w:gridCol w:w="663"/>
        <w:gridCol w:w="1447"/>
        <w:gridCol w:w="1"/>
        <w:gridCol w:w="663"/>
        <w:gridCol w:w="2"/>
        <w:gridCol w:w="663"/>
        <w:gridCol w:w="1"/>
        <w:gridCol w:w="663"/>
        <w:gridCol w:w="2"/>
        <w:gridCol w:w="662"/>
        <w:gridCol w:w="2"/>
        <w:gridCol w:w="663"/>
        <w:gridCol w:w="2"/>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7" w:hRule="atLeast"/>
        </w:trPr>
        <w:tc>
          <w:tcPr>
            <w:tcW w:w="1518" w:type="dxa"/>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表14</w:t>
            </w:r>
          </w:p>
        </w:tc>
        <w:tc>
          <w:tcPr>
            <w:tcW w:w="665"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4" w:type="dxa"/>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6" w:type="dxa"/>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4" w:type="dxa"/>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4" w:type="dxa"/>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4"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448"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5"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4"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5"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4"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5" w:type="dxa"/>
            <w:gridSpan w:val="2"/>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664" w:type="dxa"/>
            <w:tcBorders>
              <w:top w:val="nil"/>
              <w:left w:val="nil"/>
              <w:bottom w:val="nil"/>
              <w:right w:val="nil"/>
            </w:tcBorders>
            <w:shd w:val="clear" w:color="auto" w:fill="auto"/>
            <w:tcMar>
              <w:top w:w="15" w:type="dxa"/>
              <w:left w:w="15" w:type="dxa"/>
              <w:right w:w="15" w:type="dxa"/>
            </w:tcMar>
            <w:vAlign w:val="center"/>
          </w:tcPr>
          <w:p>
            <w:pPr>
              <w:widowControl/>
              <w:kinsoku w:val="0"/>
              <w:autoSpaceDE w:val="0"/>
              <w:autoSpaceDN w:val="0"/>
              <w:adjustRightInd w:val="0"/>
              <w:snapToGrid w:val="0"/>
              <w:spacing w:line="240" w:lineRule="auto"/>
              <w:jc w:val="both"/>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4" w:hRule="atLeast"/>
        </w:trPr>
        <w:tc>
          <w:tcPr>
            <w:tcW w:w="10940" w:type="dxa"/>
            <w:gridSpan w:val="22"/>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highlight w:val="none"/>
                <w:u w:val="none"/>
              </w:rPr>
            </w:pPr>
            <w:r>
              <w:rPr>
                <w:rFonts w:hint="eastAsia" w:ascii="宋体" w:hAnsi="宋体" w:eastAsia="宋体" w:cs="宋体"/>
                <w:b/>
                <w:i w:val="0"/>
                <w:snapToGrid w:val="0"/>
                <w:color w:val="000000"/>
                <w:kern w:val="0"/>
                <w:sz w:val="28"/>
                <w:szCs w:val="28"/>
                <w:highlight w:val="none"/>
                <w:u w:val="none"/>
                <w:lang w:val="en-US" w:eastAsia="zh-CN" w:bidi="ar"/>
              </w:rPr>
              <w:t>2026年高昌区国有资本经营预算收支总表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9611" w:type="dxa"/>
            <w:gridSpan w:val="19"/>
            <w:tcBorders>
              <w:top w:val="nil"/>
              <w:left w:val="nil"/>
              <w:bottom w:val="nil"/>
              <w:right w:val="nil"/>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2"/>
                <w:szCs w:val="22"/>
                <w:highlight w:val="none"/>
                <w:u w:val="none"/>
              </w:rPr>
            </w:pPr>
          </w:p>
        </w:tc>
        <w:tc>
          <w:tcPr>
            <w:tcW w:w="1329"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5505"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收          入</w:t>
            </w:r>
          </w:p>
        </w:tc>
        <w:tc>
          <w:tcPr>
            <w:tcW w:w="5435"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15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项        目</w:t>
            </w:r>
          </w:p>
        </w:tc>
        <w:tc>
          <w:tcPr>
            <w:tcW w:w="199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2025完成数</w:t>
            </w:r>
          </w:p>
        </w:tc>
        <w:tc>
          <w:tcPr>
            <w:tcW w:w="199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2026预算数</w:t>
            </w:r>
          </w:p>
        </w:tc>
        <w:tc>
          <w:tcPr>
            <w:tcW w:w="144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项        目</w:t>
            </w:r>
          </w:p>
        </w:tc>
        <w:tc>
          <w:tcPr>
            <w:tcW w:w="199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2025完成数</w:t>
            </w:r>
          </w:p>
        </w:tc>
        <w:tc>
          <w:tcPr>
            <w:tcW w:w="199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2026预算数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1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6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吐鲁番市本级</w:t>
            </w: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地市级以下</w:t>
            </w: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6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吐鲁番市本级</w:t>
            </w:r>
          </w:p>
        </w:tc>
        <w:tc>
          <w:tcPr>
            <w:tcW w:w="6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地市级以下</w:t>
            </w: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6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6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吐鲁番市本级</w:t>
            </w:r>
          </w:p>
        </w:tc>
        <w:tc>
          <w:tcPr>
            <w:tcW w:w="6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地市级以下</w:t>
            </w:r>
          </w:p>
        </w:tc>
        <w:tc>
          <w:tcPr>
            <w:tcW w:w="66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66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吐鲁番市本级</w:t>
            </w:r>
          </w:p>
        </w:tc>
        <w:tc>
          <w:tcPr>
            <w:tcW w:w="6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地市级以下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8" w:hRule="atLeast"/>
        </w:trPr>
        <w:tc>
          <w:tcPr>
            <w:tcW w:w="15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c>
          <w:tcPr>
            <w:tcW w:w="6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9"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一、利润收入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21</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21</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一、解决历史遗留问题及改革成本支出</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69</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69</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5"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二、股息红利收入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二、国有企业资本金注入</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5"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三、产权转让收入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三、国有企业公益性补贴</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5"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四、清算收入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四、其他国有资本经营预算支出</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480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9"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五、其他国有资本经营预算收入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120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120</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480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480</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收入合计</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141</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141</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480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480</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支出合计</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69</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69</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9"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国有资本经营预算转移支付收入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19</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19</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19</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19</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国有资本经营预算转移支付支出</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9"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国有资本经营预算上解收入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国有资本经营预算上解支出</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79"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国有资本经营预算上年结转收入</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1147</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1147</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国有资本经营预算调出资金</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1227</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9"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国有资本经营预算年终结余</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11</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6" w:hRule="atLeast"/>
        </w:trPr>
        <w:tc>
          <w:tcPr>
            <w:tcW w:w="15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收入总计</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1307</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1307</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510</w:t>
            </w:r>
          </w:p>
        </w:tc>
        <w:tc>
          <w:tcPr>
            <w:tcW w:w="1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支出总计</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1307</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69</w:t>
            </w:r>
          </w:p>
        </w:tc>
        <w:tc>
          <w:tcPr>
            <w:tcW w:w="6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510</w:t>
            </w:r>
          </w:p>
        </w:tc>
        <w:tc>
          <w:tcPr>
            <w:tcW w:w="6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b/>
                <w:bCs/>
                <w:i w:val="0"/>
                <w:color w:val="000000"/>
                <w:sz w:val="22"/>
                <w:szCs w:val="22"/>
                <w:highlight w:val="none"/>
                <w:u w:val="none"/>
              </w:rPr>
            </w:pPr>
          </w:p>
        </w:tc>
        <w:tc>
          <w:tcPr>
            <w:tcW w:w="6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510</w:t>
            </w:r>
          </w:p>
        </w:tc>
      </w:tr>
    </w:tbl>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jc w:val="both"/>
        <w:textAlignment w:val="baseline"/>
        <w:rPr>
          <w:rFonts w:hint="default" w:ascii="楷体_GB2312" w:hAnsi="楷体_GB2312" w:eastAsia="楷体_GB2312" w:cs="楷体_GB2312"/>
          <w:b/>
          <w:bCs/>
          <w:snapToGrid w:val="0"/>
          <w:color w:val="000000"/>
          <w:spacing w:val="-1"/>
          <w:kern w:val="0"/>
          <w:sz w:val="32"/>
          <w:szCs w:val="32"/>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firstLine="639" w:firstLineChars="200"/>
        <w:jc w:val="both"/>
        <w:textAlignment w:val="baseline"/>
        <w:rPr>
          <w:rFonts w:hint="default" w:ascii="楷体_GB2312" w:hAnsi="楷体_GB2312" w:eastAsia="楷体_GB2312" w:cs="楷体_GB2312"/>
          <w:b/>
          <w:bCs/>
          <w:snapToGrid w:val="0"/>
          <w:color w:val="000000"/>
          <w:spacing w:val="-1"/>
          <w:kern w:val="0"/>
          <w:sz w:val="32"/>
          <w:szCs w:val="32"/>
          <w:highlight w:val="none"/>
          <w:lang w:val="en-US" w:eastAsia="zh-Hans"/>
        </w:rPr>
      </w:pPr>
      <w:r>
        <w:rPr>
          <w:rFonts w:hint="default" w:ascii="楷体_GB2312" w:hAnsi="楷体_GB2312" w:eastAsia="楷体_GB2312" w:cs="楷体_GB2312"/>
          <w:b/>
          <w:bCs/>
          <w:snapToGrid w:val="0"/>
          <w:color w:val="000000"/>
          <w:spacing w:val="-1"/>
          <w:kern w:val="0"/>
          <w:sz w:val="32"/>
          <w:szCs w:val="32"/>
          <w:highlight w:val="none"/>
          <w:lang w:val="en-US" w:eastAsia="zh-CN"/>
        </w:rPr>
        <w:t>三、</w:t>
      </w:r>
      <w:r>
        <w:rPr>
          <w:rFonts w:hint="default" w:ascii="楷体_GB2312" w:hAnsi="楷体_GB2312" w:eastAsia="楷体_GB2312" w:cs="楷体_GB2312"/>
          <w:b/>
          <w:bCs/>
          <w:snapToGrid w:val="0"/>
          <w:color w:val="000000"/>
          <w:spacing w:val="-1"/>
          <w:kern w:val="0"/>
          <w:sz w:val="32"/>
          <w:szCs w:val="32"/>
          <w:highlight w:val="none"/>
          <w:lang w:val="en-US" w:eastAsia="zh-Hans"/>
        </w:rPr>
        <w:t>国有资本经营预算</w:t>
      </w:r>
      <w:r>
        <w:rPr>
          <w:rFonts w:hint="default" w:ascii="楷体_GB2312" w:hAnsi="楷体_GB2312" w:eastAsia="楷体_GB2312" w:cs="楷体_GB2312"/>
          <w:b/>
          <w:bCs/>
          <w:snapToGrid w:val="0"/>
          <w:color w:val="000000"/>
          <w:spacing w:val="-1"/>
          <w:kern w:val="0"/>
          <w:sz w:val="32"/>
          <w:szCs w:val="32"/>
          <w:highlight w:val="none"/>
          <w:lang w:val="en-US" w:eastAsia="zh-CN"/>
        </w:rPr>
        <w:t>公开</w:t>
      </w:r>
      <w:r>
        <w:rPr>
          <w:rFonts w:hint="default" w:ascii="楷体_GB2312" w:hAnsi="楷体_GB2312" w:eastAsia="楷体_GB2312" w:cs="楷体_GB2312"/>
          <w:b/>
          <w:bCs/>
          <w:snapToGrid w:val="0"/>
          <w:color w:val="000000"/>
          <w:spacing w:val="-1"/>
          <w:kern w:val="0"/>
          <w:sz w:val="32"/>
          <w:szCs w:val="32"/>
          <w:highlight w:val="none"/>
          <w:lang w:val="en-US" w:eastAsia="zh-Hans"/>
        </w:rPr>
        <w:t>表</w:t>
      </w:r>
    </w:p>
    <w:tbl>
      <w:tblPr>
        <w:tblStyle w:val="8"/>
        <w:tblpPr w:leftFromText="180" w:rightFromText="180" w:vertAnchor="text" w:horzAnchor="page" w:tblpX="570" w:tblpY="474"/>
        <w:tblOverlap w:val="never"/>
        <w:tblW w:w="108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85"/>
        <w:gridCol w:w="2370"/>
        <w:gridCol w:w="1035"/>
        <w:gridCol w:w="1035"/>
        <w:gridCol w:w="1035"/>
        <w:gridCol w:w="1035"/>
        <w:gridCol w:w="1035"/>
        <w:gridCol w:w="1035"/>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185"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表15</w:t>
            </w:r>
          </w:p>
        </w:tc>
        <w:tc>
          <w:tcPr>
            <w:tcW w:w="237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60" w:hRule="atLeast"/>
        </w:trPr>
        <w:tc>
          <w:tcPr>
            <w:tcW w:w="10800" w:type="dxa"/>
            <w:gridSpan w:val="9"/>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highlight w:val="none"/>
                <w:u w:val="none"/>
              </w:rPr>
            </w:pPr>
            <w:r>
              <w:rPr>
                <w:rFonts w:hint="eastAsia" w:ascii="宋体" w:hAnsi="宋体" w:eastAsia="宋体" w:cs="宋体"/>
                <w:b/>
                <w:i w:val="0"/>
                <w:snapToGrid w:val="0"/>
                <w:color w:val="000000"/>
                <w:kern w:val="0"/>
                <w:sz w:val="28"/>
                <w:szCs w:val="28"/>
                <w:highlight w:val="none"/>
                <w:u w:val="none"/>
                <w:lang w:val="en-US" w:eastAsia="zh-CN" w:bidi="ar"/>
              </w:rPr>
              <w:t>2026年高昌区国有资本经营预算收入表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5" w:hRule="atLeast"/>
        </w:trPr>
        <w:tc>
          <w:tcPr>
            <w:tcW w:w="10800" w:type="dxa"/>
            <w:gridSpan w:val="9"/>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70" w:hRule="atLeast"/>
        </w:trPr>
        <w:tc>
          <w:tcPr>
            <w:tcW w:w="11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科目编码</w:t>
            </w:r>
          </w:p>
        </w:tc>
        <w:tc>
          <w:tcPr>
            <w:tcW w:w="23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科目名称／企业</w:t>
            </w:r>
          </w:p>
        </w:tc>
        <w:tc>
          <w:tcPr>
            <w:tcW w:w="31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2025年完成数</w:t>
            </w:r>
          </w:p>
        </w:tc>
        <w:tc>
          <w:tcPr>
            <w:tcW w:w="31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2026年预算数</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比上年预算数增（减）%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23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小计</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吐鲁番市本级</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吐鲁番市级及以下</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小计</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吐鲁番市本级</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吐鲁番市级及以下</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103060119</w:t>
            </w:r>
          </w:p>
        </w:tc>
        <w:tc>
          <w:tcPr>
            <w:tcW w:w="23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建筑施工企业利润收入</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1030698</w:t>
            </w:r>
          </w:p>
        </w:tc>
        <w:tc>
          <w:tcPr>
            <w:tcW w:w="23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其他国有资本经营预算收入</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120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120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480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480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1100501</w:t>
            </w:r>
          </w:p>
        </w:tc>
        <w:tc>
          <w:tcPr>
            <w:tcW w:w="23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国有资本经营预算转移支付收入</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19</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19</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19</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19</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110050191</w:t>
            </w:r>
          </w:p>
        </w:tc>
        <w:tc>
          <w:tcPr>
            <w:tcW w:w="23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国有资本经营预算省补助计划单列市收入</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1100604</w:t>
            </w:r>
          </w:p>
        </w:tc>
        <w:tc>
          <w:tcPr>
            <w:tcW w:w="23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国有资本经营预算上解收入</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110060491</w:t>
            </w:r>
          </w:p>
        </w:tc>
        <w:tc>
          <w:tcPr>
            <w:tcW w:w="23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国有资本经营预算计划单列市上解省收入</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11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1100804</w:t>
            </w:r>
          </w:p>
        </w:tc>
        <w:tc>
          <w:tcPr>
            <w:tcW w:w="23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国有资本经营预算上年结余收入</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1147</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1147</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40" w:hRule="atLeast"/>
        </w:trPr>
        <w:tc>
          <w:tcPr>
            <w:tcW w:w="35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收入合计</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1307</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1307</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510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510</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pPr>
          </w:p>
        </w:tc>
      </w:tr>
    </w:tbl>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Hans" w:bidi="ar"/>
        </w:rPr>
      </w:pPr>
    </w:p>
    <w:p>
      <w:pPr>
        <w:pStyle w:val="2"/>
        <w:rPr>
          <w:rFonts w:hint="default" w:ascii="Times New Roman" w:hAnsi="Times New Roman" w:eastAsia="黑体" w:cs="Times New Roman"/>
          <w:bCs/>
          <w:kern w:val="0"/>
          <w:sz w:val="32"/>
          <w:szCs w:val="32"/>
          <w:highlight w:val="none"/>
          <w:lang w:val="en-US" w:eastAsia="zh-Hans"/>
        </w:rPr>
      </w:pPr>
    </w:p>
    <w:p>
      <w:pPr>
        <w:pStyle w:val="2"/>
        <w:rPr>
          <w:rFonts w:hint="default" w:ascii="Times New Roman" w:hAnsi="Times New Roman" w:eastAsia="黑体" w:cs="Times New Roman"/>
          <w:bCs/>
          <w:kern w:val="0"/>
          <w:sz w:val="32"/>
          <w:szCs w:val="32"/>
          <w:highlight w:val="none"/>
          <w:lang w:val="en-US" w:eastAsia="zh-Hans"/>
        </w:rPr>
      </w:pPr>
    </w:p>
    <w:tbl>
      <w:tblPr>
        <w:tblStyle w:val="8"/>
        <w:tblpPr w:leftFromText="180" w:rightFromText="180" w:vertAnchor="text" w:horzAnchor="page" w:tblpX="488" w:tblpY="261"/>
        <w:tblOverlap w:val="never"/>
        <w:tblW w:w="112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89"/>
        <w:gridCol w:w="1567"/>
        <w:gridCol w:w="615"/>
        <w:gridCol w:w="555"/>
        <w:gridCol w:w="359"/>
        <w:gridCol w:w="509"/>
        <w:gridCol w:w="508"/>
        <w:gridCol w:w="508"/>
        <w:gridCol w:w="509"/>
        <w:gridCol w:w="607"/>
        <w:gridCol w:w="411"/>
        <w:gridCol w:w="509"/>
        <w:gridCol w:w="509"/>
        <w:gridCol w:w="509"/>
        <w:gridCol w:w="508"/>
        <w:gridCol w:w="508"/>
        <w:gridCol w:w="508"/>
        <w:gridCol w:w="510"/>
        <w:gridCol w:w="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53" w:hRule="atLeast"/>
        </w:trPr>
        <w:tc>
          <w:tcPr>
            <w:tcW w:w="98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表16</w:t>
            </w:r>
          </w:p>
        </w:tc>
        <w:tc>
          <w:tcPr>
            <w:tcW w:w="156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61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5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35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60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411"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1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6" w:hRule="atLeast"/>
        </w:trPr>
        <w:tc>
          <w:tcPr>
            <w:tcW w:w="11207" w:type="dxa"/>
            <w:gridSpan w:val="19"/>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2026年高昌区国有资本经营预算支出表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5" w:hRule="atLeast"/>
        </w:trPr>
        <w:tc>
          <w:tcPr>
            <w:tcW w:w="98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156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61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55"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35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607"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411"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9"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508" w:type="dxa"/>
            <w:tcBorders>
              <w:top w:val="nil"/>
              <w:left w:val="nil"/>
              <w:bottom w:val="nil"/>
              <w:right w:val="nil"/>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1527" w:type="dxa"/>
            <w:gridSpan w:val="3"/>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highlight w:val="none"/>
                <w:u w:val="none"/>
              </w:rPr>
            </w:pPr>
            <w:r>
              <w:rPr>
                <w:rFonts w:hint="eastAsia" w:ascii="宋体" w:hAnsi="宋体" w:eastAsia="宋体" w:cs="宋体"/>
                <w:i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8" w:hRule="atLeast"/>
        </w:trPr>
        <w:tc>
          <w:tcPr>
            <w:tcW w:w="98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科目编码</w:t>
            </w:r>
          </w:p>
        </w:tc>
        <w:tc>
          <w:tcPr>
            <w:tcW w:w="15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科目名称</w:t>
            </w:r>
          </w:p>
        </w:tc>
        <w:tc>
          <w:tcPr>
            <w:tcW w:w="458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2025年完成数</w:t>
            </w:r>
          </w:p>
        </w:tc>
        <w:tc>
          <w:tcPr>
            <w:tcW w:w="4070"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2026年预算数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7"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22"/>
                <w:szCs w:val="22"/>
                <w:highlight w:val="none"/>
                <w:u w:val="none"/>
              </w:rPr>
            </w:pPr>
          </w:p>
        </w:tc>
        <w:tc>
          <w:tcPr>
            <w:tcW w:w="15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22"/>
                <w:szCs w:val="22"/>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合计</w:t>
            </w:r>
          </w:p>
        </w:tc>
        <w:tc>
          <w:tcPr>
            <w:tcW w:w="91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小计</w:t>
            </w:r>
          </w:p>
        </w:tc>
        <w:tc>
          <w:tcPr>
            <w:tcW w:w="101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资本性支出</w:t>
            </w:r>
          </w:p>
        </w:tc>
        <w:tc>
          <w:tcPr>
            <w:tcW w:w="101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费用性支出</w:t>
            </w: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其他支出</w:t>
            </w:r>
          </w:p>
        </w:tc>
        <w:tc>
          <w:tcPr>
            <w:tcW w:w="101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小计</w:t>
            </w:r>
          </w:p>
        </w:tc>
        <w:tc>
          <w:tcPr>
            <w:tcW w:w="101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资本性支出</w:t>
            </w:r>
          </w:p>
        </w:tc>
        <w:tc>
          <w:tcPr>
            <w:tcW w:w="101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费用性支出</w:t>
            </w:r>
          </w:p>
        </w:tc>
        <w:tc>
          <w:tcPr>
            <w:tcW w:w="101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其他支出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343" w:hRule="atLeast"/>
        </w:trPr>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22"/>
                <w:szCs w:val="22"/>
                <w:highlight w:val="none"/>
                <w:u w:val="none"/>
              </w:rPr>
            </w:pPr>
          </w:p>
        </w:tc>
        <w:tc>
          <w:tcPr>
            <w:tcW w:w="15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22"/>
                <w:szCs w:val="22"/>
                <w:highlight w:val="none"/>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bCs/>
                <w:i w:val="0"/>
                <w:color w:val="000000"/>
                <w:sz w:val="22"/>
                <w:szCs w:val="22"/>
                <w:highlight w:val="none"/>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高昌区本级</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highlight w:val="none"/>
                <w:u w:val="none"/>
              </w:rPr>
            </w:pPr>
            <w:r>
              <w:rPr>
                <w:rFonts w:hint="eastAsia" w:ascii="宋体" w:hAnsi="宋体" w:eastAsia="宋体" w:cs="宋体"/>
                <w:b/>
                <w:bCs/>
                <w:i w:val="0"/>
                <w:color w:val="000000"/>
                <w:kern w:val="0"/>
                <w:sz w:val="22"/>
                <w:szCs w:val="22"/>
                <w:highlight w:val="none"/>
                <w:u w:val="none"/>
                <w:lang w:val="en-US" w:eastAsia="zh-CN" w:bidi="ar"/>
              </w:rPr>
              <w:t>高昌区级及以下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2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2230105</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国有企业退休人员社会化管理补助支出</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020"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2230199</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其他解决历史遗留问题及改革成本支出</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w:t>
            </w: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w:t>
            </w:r>
          </w:p>
        </w:tc>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w:t>
            </w:r>
          </w:p>
        </w:tc>
        <w:tc>
          <w:tcPr>
            <w:tcW w:w="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7"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2239999</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其他国有资本经营预算支出</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480</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480</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7"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2300803</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国有资本经营预算调出资金</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1227</w:t>
            </w: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1227</w:t>
            </w:r>
          </w:p>
        </w:tc>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1227</w:t>
            </w:r>
          </w:p>
        </w:tc>
        <w:tc>
          <w:tcPr>
            <w:tcW w:w="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7" w:hRule="atLeast"/>
        </w:trPr>
        <w:tc>
          <w:tcPr>
            <w:tcW w:w="9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2300918</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国有资本经营预算年终结余</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89" w:hRule="atLeast"/>
        </w:trPr>
        <w:tc>
          <w:tcPr>
            <w:tcW w:w="255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支出合计</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1238</w:t>
            </w: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1238</w:t>
            </w:r>
          </w:p>
        </w:tc>
        <w:tc>
          <w:tcPr>
            <w:tcW w:w="35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1238</w:t>
            </w:r>
          </w:p>
        </w:tc>
        <w:tc>
          <w:tcPr>
            <w:tcW w:w="4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510</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510</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b/>
                <w:bCs/>
                <w:i w:val="0"/>
                <w:color w:val="000000"/>
                <w:sz w:val="24"/>
                <w:szCs w:val="24"/>
                <w:u w:val="none"/>
              </w:rPr>
            </w:pPr>
          </w:p>
        </w:tc>
      </w:tr>
    </w:tbl>
    <w:p>
      <w:pPr>
        <w:pStyle w:val="2"/>
        <w:rPr>
          <w:rFonts w:hint="default" w:ascii="Times New Roman" w:hAnsi="Times New Roman" w:eastAsia="黑体" w:cs="Times New Roman"/>
          <w:bCs/>
          <w:kern w:val="0"/>
          <w:sz w:val="32"/>
          <w:szCs w:val="32"/>
          <w:highlight w:val="none"/>
          <w:lang w:val="en-US" w:eastAsia="zh-Hans"/>
        </w:rPr>
      </w:pPr>
    </w:p>
    <w:p>
      <w:pPr>
        <w:pStyle w:val="2"/>
        <w:rPr>
          <w:rFonts w:hint="default"/>
          <w:lang w:val="en-US" w:eastAsia="zh-CN"/>
        </w:rPr>
      </w:pPr>
    </w:p>
    <w:tbl>
      <w:tblPr>
        <w:tblStyle w:val="8"/>
        <w:tblpPr w:leftFromText="180" w:rightFromText="180" w:vertAnchor="text" w:horzAnchor="page" w:tblpX="913" w:tblpY="430"/>
        <w:tblOverlap w:val="never"/>
        <w:tblW w:w="10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130"/>
        <w:gridCol w:w="1515"/>
        <w:gridCol w:w="1515"/>
        <w:gridCol w:w="2130"/>
        <w:gridCol w:w="1515"/>
        <w:gridCol w:w="1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5" w:hRule="atLeast"/>
        </w:trPr>
        <w:tc>
          <w:tcPr>
            <w:tcW w:w="213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表17</w:t>
            </w:r>
          </w:p>
        </w:tc>
        <w:tc>
          <w:tcPr>
            <w:tcW w:w="151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1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213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1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515"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10320"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b/>
                <w:i w:val="0"/>
                <w:snapToGrid w:val="0"/>
                <w:color w:val="000000"/>
                <w:kern w:val="0"/>
                <w:sz w:val="28"/>
                <w:szCs w:val="28"/>
                <w:u w:val="none"/>
                <w:lang w:val="en-US" w:eastAsia="zh-CN" w:bidi="ar"/>
              </w:rPr>
              <w:t>2026年高昌区本级国有资本经营预算收支总表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0320"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516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收</w:t>
            </w:r>
            <w:r>
              <w:rPr>
                <w:rFonts w:hint="default" w:ascii="Times New Roman" w:hAnsi="Times New Roman" w:eastAsia="宋体" w:cs="Times New Roman"/>
                <w:b/>
                <w:i w:val="0"/>
                <w:snapToGrid w:val="0"/>
                <w:color w:val="000000"/>
                <w:kern w:val="0"/>
                <w:sz w:val="22"/>
                <w:szCs w:val="22"/>
                <w:u w:val="none"/>
                <w:lang w:val="en-US" w:eastAsia="zh-CN" w:bidi="ar"/>
              </w:rPr>
              <w:t xml:space="preserve">          入</w:t>
            </w:r>
          </w:p>
        </w:tc>
        <w:tc>
          <w:tcPr>
            <w:tcW w:w="516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支</w:t>
            </w:r>
            <w:r>
              <w:rPr>
                <w:rFonts w:hint="default" w:ascii="Times New Roman" w:hAnsi="Times New Roman" w:eastAsia="宋体" w:cs="Times New Roman"/>
                <w:b/>
                <w:i w:val="0"/>
                <w:snapToGrid w:val="0"/>
                <w:color w:val="000000"/>
                <w:kern w:val="0"/>
                <w:sz w:val="22"/>
                <w:szCs w:val="22"/>
                <w:u w:val="none"/>
                <w:lang w:val="en-US" w:eastAsia="zh-CN" w:bidi="ar"/>
              </w:rPr>
              <w:t xml:space="preserve">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项</w:t>
            </w:r>
            <w:r>
              <w:rPr>
                <w:rFonts w:hint="default" w:ascii="Times New Roman" w:hAnsi="Times New Roman" w:eastAsia="宋体" w:cs="Times New Roman"/>
                <w:b/>
                <w:i w:val="0"/>
                <w:snapToGrid w:val="0"/>
                <w:color w:val="000000"/>
                <w:kern w:val="0"/>
                <w:sz w:val="22"/>
                <w:szCs w:val="22"/>
                <w:u w:val="none"/>
                <w:lang w:val="en-US" w:eastAsia="zh-CN" w:bidi="ar"/>
              </w:rPr>
              <w:t xml:space="preserve">       目</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2025年完成数</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2026年预算数</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项</w:t>
            </w:r>
            <w:r>
              <w:rPr>
                <w:rFonts w:hint="default" w:ascii="Times New Roman" w:hAnsi="Times New Roman" w:eastAsia="宋体" w:cs="Times New Roman"/>
                <w:b/>
                <w:i w:val="0"/>
                <w:snapToGrid w:val="0"/>
                <w:color w:val="000000"/>
                <w:kern w:val="0"/>
                <w:sz w:val="22"/>
                <w:szCs w:val="22"/>
                <w:u w:val="none"/>
                <w:lang w:val="en-US" w:eastAsia="zh-CN" w:bidi="ar"/>
              </w:rPr>
              <w:t xml:space="preserve">        目</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2025年完成数</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imes New Roman" w:hAnsi="Times New Roman" w:eastAsia="宋体" w:cs="Times New Roman"/>
                <w:b/>
                <w:i w:val="0"/>
                <w:snapToGrid w:val="0"/>
                <w:color w:val="000000"/>
                <w:kern w:val="0"/>
                <w:sz w:val="22"/>
                <w:szCs w:val="22"/>
                <w:u w:val="none"/>
                <w:lang w:val="en-US" w:eastAsia="zh-CN" w:bidi="ar"/>
              </w:rPr>
            </w:pPr>
            <w:r>
              <w:rPr>
                <w:rFonts w:hint="eastAsia" w:ascii="Times New Roman" w:hAnsi="Times New Roman" w:eastAsia="宋体" w:cs="Times New Roman"/>
                <w:b/>
                <w:i w:val="0"/>
                <w:snapToGrid w:val="0"/>
                <w:color w:val="000000"/>
                <w:kern w:val="0"/>
                <w:sz w:val="22"/>
                <w:szCs w:val="22"/>
                <w:u w:val="none"/>
                <w:lang w:val="en-US" w:eastAsia="zh-CN" w:bidi="ar"/>
              </w:rPr>
              <w:t>2026年预算数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一、利润收入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21</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一、解决历史遗留问题及改革成本支出</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二、股息红利收入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二、国有企业资本金注入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三、产权转让收入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三、国有企业公益性补贴</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四、清算收入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default" w:ascii="Times New Roman" w:hAnsi="Times New Roman" w:eastAsia="宋体" w:cs="Times New Roman"/>
                <w:i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四、其他国有资本经营预算支出</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五、其他国有资本经营预算收入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480</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收入合计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141</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480</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支出合计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69</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国有资本经营预算转移支付收入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国有资本经营预算转移支付支出</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国有资本经营预算上年结转收入</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1147</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国有资本经营预算调出资金</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1227</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default" w:ascii="Times New Roman" w:hAnsi="Times New Roman" w:eastAsia="宋体" w:cs="Times New Roman"/>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国有资本经营预算年终结余</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收入总计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1307</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510</w:t>
            </w:r>
          </w:p>
        </w:tc>
        <w:tc>
          <w:tcPr>
            <w:tcW w:w="21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支出总计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1307</w:t>
            </w:r>
          </w:p>
        </w:tc>
        <w:tc>
          <w:tcPr>
            <w:tcW w:w="15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510</w:t>
            </w:r>
          </w:p>
        </w:tc>
      </w:tr>
    </w:tbl>
    <w:p>
      <w:pPr>
        <w:rPr>
          <w:rFonts w:hint="default" w:ascii="Times New Roman" w:hAnsi="Times New Roman" w:cs="Times New Roman"/>
          <w:highlight w:val="none"/>
        </w:rPr>
      </w:pPr>
    </w:p>
    <w:p>
      <w:pPr>
        <w:rPr>
          <w:rFonts w:hint="default" w:ascii="Times New Roman" w:hAnsi="Times New Roman" w:cs="Times New Roman"/>
          <w:highlight w:val="none"/>
        </w:rPr>
      </w:pPr>
    </w:p>
    <w:tbl>
      <w:tblPr>
        <w:tblStyle w:val="8"/>
        <w:tblW w:w="10335" w:type="dxa"/>
        <w:tblInd w:w="-65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01"/>
        <w:gridCol w:w="2984"/>
        <w:gridCol w:w="1276"/>
        <w:gridCol w:w="1410"/>
        <w:gridCol w:w="28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9" w:hRule="atLeast"/>
        </w:trPr>
        <w:tc>
          <w:tcPr>
            <w:tcW w:w="1801"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表18</w:t>
            </w:r>
          </w:p>
        </w:tc>
        <w:tc>
          <w:tcPr>
            <w:tcW w:w="2984"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27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141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2864"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70" w:hRule="atLeast"/>
        </w:trPr>
        <w:tc>
          <w:tcPr>
            <w:tcW w:w="10335"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8"/>
                <w:szCs w:val="28"/>
                <w:u w:val="none"/>
              </w:rPr>
            </w:pPr>
            <w:r>
              <w:rPr>
                <w:rFonts w:hint="eastAsia" w:ascii="宋体" w:hAnsi="宋体" w:eastAsia="宋体" w:cs="宋体"/>
                <w:b/>
                <w:i w:val="0"/>
                <w:snapToGrid w:val="0"/>
                <w:color w:val="000000"/>
                <w:kern w:val="0"/>
                <w:sz w:val="28"/>
                <w:szCs w:val="28"/>
                <w:u w:val="none"/>
                <w:lang w:val="en-US" w:eastAsia="zh-CN" w:bidi="ar"/>
              </w:rPr>
              <w:t>2026年高昌区本级国有资本经营预算收入表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29" w:hRule="atLeast"/>
        </w:trPr>
        <w:tc>
          <w:tcPr>
            <w:tcW w:w="10335" w:type="dxa"/>
            <w:gridSpan w:val="5"/>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99" w:hRule="atLeast"/>
        </w:trPr>
        <w:tc>
          <w:tcPr>
            <w:tcW w:w="18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u w:val="none"/>
                <w:lang w:val="en-US" w:eastAsia="zh-CN" w:bidi="ar"/>
              </w:rPr>
            </w:pPr>
            <w:r>
              <w:rPr>
                <w:rFonts w:hint="eastAsia" w:asciiTheme="minorEastAsia" w:hAnsiTheme="minorEastAsia" w:eastAsiaTheme="minorEastAsia" w:cstheme="minorEastAsia"/>
                <w:b/>
                <w:i w:val="0"/>
                <w:snapToGrid w:val="0"/>
                <w:color w:val="000000"/>
                <w:kern w:val="0"/>
                <w:sz w:val="22"/>
                <w:szCs w:val="22"/>
                <w:u w:val="none"/>
                <w:lang w:val="en-US" w:eastAsia="zh-CN" w:bidi="ar"/>
              </w:rPr>
              <w:t>科目编码</w:t>
            </w:r>
          </w:p>
        </w:tc>
        <w:tc>
          <w:tcPr>
            <w:tcW w:w="29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u w:val="none"/>
                <w:lang w:val="en-US" w:eastAsia="zh-CN" w:bidi="ar"/>
              </w:rPr>
            </w:pPr>
            <w:r>
              <w:rPr>
                <w:rFonts w:hint="eastAsia" w:asciiTheme="minorEastAsia" w:hAnsiTheme="minorEastAsia" w:eastAsiaTheme="minorEastAsia" w:cstheme="minorEastAsia"/>
                <w:b/>
                <w:i w:val="0"/>
                <w:snapToGrid w:val="0"/>
                <w:color w:val="000000"/>
                <w:kern w:val="0"/>
                <w:sz w:val="22"/>
                <w:szCs w:val="22"/>
                <w:u w:val="none"/>
                <w:lang w:val="en-US" w:eastAsia="zh-CN" w:bidi="ar"/>
              </w:rPr>
              <w:t>科目名称／企业</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u w:val="none"/>
                <w:lang w:val="en-US" w:eastAsia="zh-CN" w:bidi="ar"/>
              </w:rPr>
            </w:pPr>
            <w:r>
              <w:rPr>
                <w:rFonts w:hint="eastAsia" w:asciiTheme="minorEastAsia" w:hAnsiTheme="minorEastAsia" w:eastAsiaTheme="minorEastAsia" w:cstheme="minorEastAsia"/>
                <w:b/>
                <w:i w:val="0"/>
                <w:snapToGrid w:val="0"/>
                <w:color w:val="000000"/>
                <w:kern w:val="0"/>
                <w:sz w:val="22"/>
                <w:szCs w:val="22"/>
                <w:u w:val="none"/>
                <w:lang w:val="en-US" w:eastAsia="zh-CN" w:bidi="ar"/>
              </w:rPr>
              <w:t>2025年完成数</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u w:val="none"/>
                <w:lang w:val="en-US" w:eastAsia="zh-CN" w:bidi="ar"/>
              </w:rPr>
            </w:pPr>
            <w:r>
              <w:rPr>
                <w:rFonts w:hint="eastAsia" w:asciiTheme="minorEastAsia" w:hAnsiTheme="minorEastAsia" w:eastAsiaTheme="minorEastAsia" w:cstheme="minorEastAsia"/>
                <w:b/>
                <w:i w:val="0"/>
                <w:snapToGrid w:val="0"/>
                <w:color w:val="000000"/>
                <w:kern w:val="0"/>
                <w:sz w:val="22"/>
                <w:szCs w:val="22"/>
                <w:u w:val="none"/>
                <w:lang w:val="en-US" w:eastAsia="zh-CN" w:bidi="ar"/>
              </w:rPr>
              <w:t>2026年预算数</w:t>
            </w:r>
          </w:p>
        </w:tc>
        <w:tc>
          <w:tcPr>
            <w:tcW w:w="28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eastAsia" w:asciiTheme="minorEastAsia" w:hAnsiTheme="minorEastAsia" w:eastAsiaTheme="minorEastAsia" w:cstheme="minorEastAsia"/>
                <w:b/>
                <w:i w:val="0"/>
                <w:snapToGrid w:val="0"/>
                <w:color w:val="000000"/>
                <w:kern w:val="0"/>
                <w:sz w:val="22"/>
                <w:szCs w:val="22"/>
                <w:u w:val="none"/>
                <w:lang w:val="en-US" w:eastAsia="zh-CN" w:bidi="ar"/>
              </w:rPr>
            </w:pPr>
            <w:r>
              <w:rPr>
                <w:rFonts w:hint="eastAsia" w:asciiTheme="minorEastAsia" w:hAnsiTheme="minorEastAsia" w:eastAsiaTheme="minorEastAsia" w:cstheme="minorEastAsia"/>
                <w:b/>
                <w:i w:val="0"/>
                <w:snapToGrid w:val="0"/>
                <w:color w:val="000000"/>
                <w:kern w:val="0"/>
                <w:sz w:val="22"/>
                <w:szCs w:val="22"/>
                <w:u w:val="none"/>
                <w:lang w:val="en-US" w:eastAsia="zh-CN" w:bidi="ar"/>
              </w:rPr>
              <w:t>比上年预算数增（减）%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2" w:hRule="atLeast"/>
        </w:trPr>
        <w:tc>
          <w:tcPr>
            <w:tcW w:w="18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28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9"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1030601</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一、利润收入</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9"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103060119</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建筑施工企业利润收入</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9"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1030602</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二、股息红利收入</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9"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1030603</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三、产权转让收入</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9"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1030604</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四、清算收入</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22"/>
                <w:szCs w:val="22"/>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53"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1030699</w:t>
            </w: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五、其他国有资本经营预算收入</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480</w:t>
            </w: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53"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国有资本经营预算转移支付收入</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9" w:hRule="atLeast"/>
        </w:trPr>
        <w:tc>
          <w:tcPr>
            <w:tcW w:w="1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2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firstLineChars="10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上年结转</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1147</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39" w:hRule="atLeast"/>
        </w:trPr>
        <w:tc>
          <w:tcPr>
            <w:tcW w:w="47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合    计</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1304</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510</w:t>
            </w:r>
          </w:p>
        </w:tc>
        <w:tc>
          <w:tcPr>
            <w:tcW w:w="28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-60.89%</w:t>
            </w:r>
          </w:p>
        </w:tc>
      </w:tr>
    </w:tbl>
    <w:p>
      <w:pPr>
        <w:jc w:val="both"/>
        <w:rPr>
          <w:rFonts w:hint="default" w:ascii="Times New Roman" w:hAnsi="Times New Roman" w:cs="Times New Roman"/>
          <w:b/>
          <w:bCs/>
          <w:sz w:val="24"/>
          <w:szCs w:val="24"/>
          <w:highlight w:val="none"/>
          <w:lang w:val="en-US" w:eastAsia="zh-Hans"/>
        </w:rPr>
      </w:pPr>
    </w:p>
    <w:p>
      <w:pPr>
        <w:numPr>
          <w:ilvl w:val="0"/>
          <w:numId w:val="0"/>
        </w:numPr>
        <w:tabs>
          <w:tab w:val="left" w:pos="2148"/>
        </w:tabs>
        <w:spacing w:before="190" w:line="350" w:lineRule="auto"/>
        <w:ind w:right="3265" w:rightChars="0"/>
        <w:jc w:val="both"/>
        <w:rPr>
          <w:rFonts w:hint="default" w:ascii="Times New Roman" w:hAnsi="Times New Roman" w:eastAsia="黑体" w:cs="Times New Roman"/>
          <w:bCs/>
          <w:kern w:val="0"/>
          <w:sz w:val="32"/>
          <w:szCs w:val="32"/>
          <w:highlight w:val="none"/>
          <w:lang w:val="en-US" w:eastAsia="zh-Hans"/>
        </w:rPr>
      </w:pPr>
    </w:p>
    <w:p>
      <w:pPr>
        <w:pStyle w:val="2"/>
        <w:rPr>
          <w:rFonts w:hint="default" w:ascii="Times New Roman" w:hAnsi="Times New Roman" w:eastAsia="黑体" w:cs="Times New Roman"/>
          <w:bCs/>
          <w:kern w:val="0"/>
          <w:sz w:val="32"/>
          <w:szCs w:val="32"/>
          <w:highlight w:val="none"/>
          <w:lang w:val="en-US" w:eastAsia="zh-Hans"/>
        </w:rPr>
      </w:pPr>
    </w:p>
    <w:p>
      <w:pPr>
        <w:rPr>
          <w:rFonts w:hint="default" w:ascii="Times New Roman" w:hAnsi="Times New Roman" w:eastAsia="黑体" w:cs="Times New Roman"/>
          <w:bCs/>
          <w:kern w:val="0"/>
          <w:sz w:val="32"/>
          <w:szCs w:val="32"/>
          <w:highlight w:val="none"/>
          <w:lang w:val="en-US" w:eastAsia="zh-Hans"/>
        </w:rPr>
      </w:pPr>
      <w:r>
        <w:rPr>
          <w:rFonts w:hint="default" w:ascii="Times New Roman" w:hAnsi="Times New Roman" w:eastAsia="黑体" w:cs="Times New Roman"/>
          <w:bCs/>
          <w:kern w:val="0"/>
          <w:sz w:val="32"/>
          <w:szCs w:val="32"/>
          <w:highlight w:val="none"/>
          <w:lang w:val="en-US" w:eastAsia="zh-Hans"/>
        </w:rPr>
        <w:br w:type="page"/>
      </w:r>
    </w:p>
    <w:p>
      <w:pPr>
        <w:pStyle w:val="2"/>
        <w:rPr>
          <w:rFonts w:hint="default" w:ascii="Times New Roman" w:hAnsi="Times New Roman" w:eastAsia="黑体" w:cs="Times New Roman"/>
          <w:bCs/>
          <w:kern w:val="0"/>
          <w:sz w:val="32"/>
          <w:szCs w:val="32"/>
          <w:highlight w:val="none"/>
          <w:lang w:val="en-US" w:eastAsia="zh-Hans"/>
        </w:rPr>
      </w:pPr>
    </w:p>
    <w:p>
      <w:pPr>
        <w:pStyle w:val="2"/>
        <w:rPr>
          <w:rFonts w:hint="default" w:ascii="Times New Roman" w:hAnsi="Times New Roman" w:eastAsia="黑体" w:cs="Times New Roman"/>
          <w:bCs/>
          <w:kern w:val="0"/>
          <w:sz w:val="32"/>
          <w:szCs w:val="32"/>
          <w:highlight w:val="none"/>
          <w:lang w:val="en-US" w:eastAsia="zh-Hans"/>
        </w:rPr>
      </w:pPr>
    </w:p>
    <w:tbl>
      <w:tblPr>
        <w:tblStyle w:val="8"/>
        <w:tblW w:w="88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13"/>
        <w:gridCol w:w="602"/>
        <w:gridCol w:w="1079"/>
        <w:gridCol w:w="216"/>
        <w:gridCol w:w="863"/>
        <w:gridCol w:w="432"/>
        <w:gridCol w:w="647"/>
        <w:gridCol w:w="648"/>
        <w:gridCol w:w="431"/>
        <w:gridCol w:w="864"/>
        <w:gridCol w:w="21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0" w:hRule="atLeast"/>
        </w:trPr>
        <w:tc>
          <w:tcPr>
            <w:tcW w:w="1813" w:type="dxa"/>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表20</w:t>
            </w:r>
          </w:p>
        </w:tc>
        <w:tc>
          <w:tcPr>
            <w:tcW w:w="602" w:type="dxa"/>
            <w:vAlign w:val="center"/>
          </w:tcPr>
          <w:p>
            <w:pPr>
              <w:rPr>
                <w:rFonts w:hint="default" w:ascii="Times New Roman" w:hAnsi="Times New Roman" w:eastAsia="宋体" w:cs="Times New Roman"/>
                <w:i w:val="0"/>
                <w:color w:val="000000"/>
                <w:sz w:val="24"/>
                <w:szCs w:val="24"/>
                <w:highlight w:val="none"/>
                <w:u w:val="none"/>
              </w:rPr>
            </w:pPr>
          </w:p>
        </w:tc>
        <w:tc>
          <w:tcPr>
            <w:tcW w:w="1079" w:type="dxa"/>
            <w:vAlign w:val="center"/>
          </w:tcPr>
          <w:p>
            <w:pPr>
              <w:rPr>
                <w:rFonts w:hint="default" w:ascii="Times New Roman" w:hAnsi="Times New Roman" w:eastAsia="宋体" w:cs="Times New Roman"/>
                <w:i w:val="0"/>
                <w:color w:val="000000"/>
                <w:sz w:val="24"/>
                <w:szCs w:val="24"/>
                <w:highlight w:val="none"/>
                <w:u w:val="none"/>
              </w:rPr>
            </w:pPr>
          </w:p>
        </w:tc>
        <w:tc>
          <w:tcPr>
            <w:tcW w:w="1079"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079"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079"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079"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080" w:type="dxa"/>
            <w:vAlign w:val="center"/>
          </w:tcPr>
          <w:p>
            <w:pPr>
              <w:rPr>
                <w:rFonts w:hint="default" w:ascii="Times New Roman" w:hAnsi="Times New Roman" w:eastAsia="宋体" w:cs="Times New Roman"/>
                <w:i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8890" w:type="dxa"/>
            <w:gridSpan w:val="12"/>
            <w:vAlign w:val="center"/>
          </w:tcPr>
          <w:p>
            <w:pPr>
              <w:keepNext w:val="0"/>
              <w:keepLines w:val="0"/>
              <w:widowControl/>
              <w:suppressLineNumbers w:val="0"/>
              <w:jc w:val="center"/>
              <w:textAlignment w:val="center"/>
              <w:rPr>
                <w:rFonts w:hint="default" w:ascii="宋体" w:hAnsi="宋体" w:eastAsia="宋体" w:cs="宋体"/>
                <w:b/>
                <w:i w:val="0"/>
                <w:snapToGrid w:val="0"/>
                <w:color w:val="000000"/>
                <w:kern w:val="0"/>
                <w:sz w:val="28"/>
                <w:szCs w:val="28"/>
                <w:u w:val="none"/>
                <w:lang w:val="en-US" w:eastAsia="zh-CN" w:bidi="ar"/>
              </w:rPr>
            </w:pPr>
            <w:r>
              <w:rPr>
                <w:rFonts w:hint="eastAsia" w:ascii="宋体" w:hAnsi="宋体" w:eastAsia="宋体" w:cs="宋体"/>
                <w:b/>
                <w:i w:val="0"/>
                <w:snapToGrid w:val="0"/>
                <w:color w:val="000000"/>
                <w:kern w:val="0"/>
                <w:sz w:val="28"/>
                <w:szCs w:val="28"/>
                <w:u w:val="none"/>
                <w:lang w:val="en-US" w:eastAsia="zh-CN" w:bidi="ar"/>
              </w:rPr>
              <w:t>2026</w:t>
            </w:r>
            <w:r>
              <w:rPr>
                <w:rFonts w:hint="default" w:ascii="宋体" w:hAnsi="宋体" w:eastAsia="宋体" w:cs="宋体"/>
                <w:b/>
                <w:i w:val="0"/>
                <w:snapToGrid w:val="0"/>
                <w:color w:val="000000"/>
                <w:kern w:val="0"/>
                <w:sz w:val="28"/>
                <w:szCs w:val="28"/>
                <w:u w:val="none"/>
                <w:lang w:val="en-US" w:eastAsia="zh-CN" w:bidi="ar"/>
              </w:rPr>
              <w:t>年</w:t>
            </w:r>
            <w:r>
              <w:rPr>
                <w:rFonts w:hint="eastAsia" w:ascii="宋体" w:hAnsi="宋体" w:eastAsia="宋体" w:cs="宋体"/>
                <w:b/>
                <w:i w:val="0"/>
                <w:snapToGrid w:val="0"/>
                <w:color w:val="000000"/>
                <w:kern w:val="0"/>
                <w:sz w:val="28"/>
                <w:szCs w:val="28"/>
                <w:u w:val="none"/>
                <w:lang w:val="en-US" w:eastAsia="zh-CN" w:bidi="ar"/>
              </w:rPr>
              <w:t>高昌区</w:t>
            </w:r>
            <w:r>
              <w:rPr>
                <w:rFonts w:hint="default" w:ascii="宋体" w:hAnsi="宋体" w:eastAsia="宋体" w:cs="宋体"/>
                <w:b/>
                <w:i w:val="0"/>
                <w:snapToGrid w:val="0"/>
                <w:color w:val="000000"/>
                <w:kern w:val="0"/>
                <w:sz w:val="28"/>
                <w:szCs w:val="28"/>
                <w:u w:val="none"/>
                <w:lang w:val="en-US" w:eastAsia="zh-CN" w:bidi="ar"/>
              </w:rPr>
              <w:t>国有资本经营预算对下转移支付安排情况表</w:t>
            </w:r>
          </w:p>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宋体" w:hAnsi="宋体" w:eastAsia="宋体" w:cs="宋体"/>
                <w:b/>
                <w:i w:val="0"/>
                <w:snapToGrid w:val="0"/>
                <w:color w:val="000000"/>
                <w:kern w:val="0"/>
                <w:sz w:val="28"/>
                <w:szCs w:val="28"/>
                <w:u w:val="none"/>
                <w:lang w:val="en-US" w:eastAsia="zh-CN" w:bidi="ar"/>
              </w:rPr>
              <w:t>（分地区、项目）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5" w:hRule="atLeast"/>
        </w:trPr>
        <w:tc>
          <w:tcPr>
            <w:tcW w:w="1813" w:type="dxa"/>
            <w:vAlign w:val="center"/>
          </w:tcPr>
          <w:p>
            <w:pPr>
              <w:jc w:val="center"/>
              <w:rPr>
                <w:rFonts w:hint="default" w:ascii="Times New Roman" w:hAnsi="Times New Roman" w:eastAsia="宋体" w:cs="Times New Roman"/>
                <w:i w:val="0"/>
                <w:color w:val="000000"/>
                <w:sz w:val="20"/>
                <w:szCs w:val="20"/>
                <w:highlight w:val="none"/>
                <w:u w:val="none"/>
              </w:rPr>
            </w:pPr>
          </w:p>
        </w:tc>
        <w:tc>
          <w:tcPr>
            <w:tcW w:w="602" w:type="dxa"/>
            <w:vAlign w:val="center"/>
          </w:tcPr>
          <w:p>
            <w:pPr>
              <w:jc w:val="center"/>
              <w:rPr>
                <w:rFonts w:hint="default" w:ascii="Times New Roman" w:hAnsi="Times New Roman" w:eastAsia="宋体" w:cs="Times New Roman"/>
                <w:i w:val="0"/>
                <w:color w:val="000000"/>
                <w:sz w:val="20"/>
                <w:szCs w:val="20"/>
                <w:highlight w:val="none"/>
                <w:u w:val="none"/>
              </w:rPr>
            </w:pPr>
          </w:p>
        </w:tc>
        <w:tc>
          <w:tcPr>
            <w:tcW w:w="1295" w:type="dxa"/>
            <w:gridSpan w:val="2"/>
            <w:vAlign w:val="center"/>
          </w:tcPr>
          <w:p>
            <w:pPr>
              <w:jc w:val="center"/>
              <w:rPr>
                <w:rFonts w:hint="default" w:ascii="Times New Roman" w:hAnsi="Times New Roman" w:eastAsia="宋体" w:cs="Times New Roman"/>
                <w:i w:val="0"/>
                <w:color w:val="000000"/>
                <w:sz w:val="20"/>
                <w:szCs w:val="20"/>
                <w:highlight w:val="none"/>
                <w:u w:val="none"/>
              </w:rPr>
            </w:pPr>
          </w:p>
        </w:tc>
        <w:tc>
          <w:tcPr>
            <w:tcW w:w="1295" w:type="dxa"/>
            <w:gridSpan w:val="2"/>
            <w:vAlign w:val="center"/>
          </w:tcPr>
          <w:p>
            <w:pPr>
              <w:jc w:val="center"/>
              <w:rPr>
                <w:rFonts w:hint="default" w:ascii="Times New Roman" w:hAnsi="Times New Roman" w:eastAsia="宋体" w:cs="Times New Roman"/>
                <w:i w:val="0"/>
                <w:color w:val="000000"/>
                <w:sz w:val="20"/>
                <w:szCs w:val="20"/>
                <w:highlight w:val="none"/>
                <w:u w:val="none"/>
              </w:rPr>
            </w:pPr>
          </w:p>
        </w:tc>
        <w:tc>
          <w:tcPr>
            <w:tcW w:w="1295"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295" w:type="dxa"/>
            <w:gridSpan w:val="2"/>
            <w:vAlign w:val="center"/>
          </w:tcPr>
          <w:p>
            <w:pPr>
              <w:rPr>
                <w:rFonts w:hint="default" w:ascii="Times New Roman" w:hAnsi="Times New Roman" w:eastAsia="宋体" w:cs="Times New Roman"/>
                <w:i w:val="0"/>
                <w:color w:val="000000"/>
                <w:sz w:val="24"/>
                <w:szCs w:val="24"/>
                <w:highlight w:val="none"/>
                <w:u w:val="none"/>
              </w:rPr>
            </w:pPr>
          </w:p>
        </w:tc>
        <w:tc>
          <w:tcPr>
            <w:tcW w:w="1295" w:type="dxa"/>
            <w:gridSpan w:val="2"/>
            <w:tcBorders>
              <w:bottom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40" w:hRule="atLeast"/>
        </w:trPr>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项目名称</w:t>
            </w:r>
          </w:p>
        </w:tc>
        <w:tc>
          <w:tcPr>
            <w:tcW w:w="60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合计</w:t>
            </w:r>
          </w:p>
        </w:tc>
        <w:tc>
          <w:tcPr>
            <w:tcW w:w="10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县、市名称</w:t>
            </w:r>
          </w:p>
        </w:tc>
        <w:tc>
          <w:tcPr>
            <w:tcW w:w="10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0" w:hRule="atLeast"/>
        </w:trPr>
        <w:tc>
          <w:tcPr>
            <w:tcW w:w="18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国有资本经营预算转移支付</w:t>
            </w:r>
          </w:p>
        </w:tc>
        <w:tc>
          <w:tcPr>
            <w:tcW w:w="602"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079"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07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r>
    </w:tbl>
    <w:p>
      <w:pPr>
        <w:rPr>
          <w:rFonts w:hint="default" w:ascii="Times New Roman" w:hAnsi="Times New Roman" w:eastAsia="楷体_GB2312" w:cs="Times New Roman"/>
          <w:b/>
          <w:bCs w:val="0"/>
          <w:kern w:val="0"/>
          <w:sz w:val="32"/>
          <w:szCs w:val="32"/>
          <w:highlight w:val="none"/>
          <w:lang w:val="en-US" w:eastAsia="zh-Hans"/>
        </w:rPr>
      </w:pPr>
      <w:r>
        <w:rPr>
          <w:rFonts w:ascii="宋体" w:hAnsi="宋体" w:eastAsia="宋体" w:cs="宋体"/>
          <w:spacing w:val="9"/>
          <w:sz w:val="22"/>
          <w:szCs w:val="22"/>
        </w:rPr>
        <w:t>备注：高昌区本级无对下转移支付支出</w:t>
      </w:r>
    </w:p>
    <w:p>
      <w:pPr>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br w:type="page"/>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firstLine="642" w:firstLineChars="200"/>
        <w:jc w:val="both"/>
        <w:textAlignment w:val="baseline"/>
        <w:rPr>
          <w:rFonts w:hint="default" w:ascii="KaiTi_GB2312" w:hAnsi="KaiTi_GB2312" w:eastAsia="KaiTi_GB2312" w:cs="KaiTi_GB2312"/>
          <w:b/>
          <w:bCs/>
          <w:snapToGrid w:val="0"/>
          <w:color w:val="000000"/>
          <w:spacing w:val="5"/>
          <w:kern w:val="0"/>
          <w:sz w:val="31"/>
          <w:szCs w:val="31"/>
          <w:lang w:val="en-US" w:eastAsia="zh-Hans"/>
        </w:rPr>
      </w:pPr>
      <w:r>
        <w:rPr>
          <w:rFonts w:hint="eastAsia" w:ascii="KaiTi_GB2312" w:hAnsi="KaiTi_GB2312" w:eastAsia="KaiTi_GB2312" w:cs="KaiTi_GB2312"/>
          <w:b/>
          <w:bCs/>
          <w:snapToGrid w:val="0"/>
          <w:color w:val="000000"/>
          <w:spacing w:val="5"/>
          <w:kern w:val="0"/>
          <w:sz w:val="31"/>
          <w:szCs w:val="31"/>
          <w:lang w:val="en-US" w:eastAsia="zh-CN"/>
        </w:rPr>
        <w:t>四、</w:t>
      </w:r>
      <w:r>
        <w:rPr>
          <w:rFonts w:hint="default" w:ascii="KaiTi_GB2312" w:hAnsi="KaiTi_GB2312" w:eastAsia="KaiTi_GB2312" w:cs="KaiTi_GB2312"/>
          <w:b/>
          <w:bCs/>
          <w:snapToGrid w:val="0"/>
          <w:color w:val="000000"/>
          <w:spacing w:val="5"/>
          <w:kern w:val="0"/>
          <w:sz w:val="31"/>
          <w:szCs w:val="31"/>
          <w:lang w:val="en-US" w:eastAsia="zh-Hans"/>
        </w:rPr>
        <w:t>社会保险基金预算</w:t>
      </w:r>
      <w:r>
        <w:rPr>
          <w:rFonts w:hint="default" w:ascii="KaiTi_GB2312" w:hAnsi="KaiTi_GB2312" w:eastAsia="KaiTi_GB2312" w:cs="KaiTi_GB2312"/>
          <w:b/>
          <w:bCs/>
          <w:snapToGrid w:val="0"/>
          <w:color w:val="000000"/>
          <w:spacing w:val="5"/>
          <w:kern w:val="0"/>
          <w:sz w:val="31"/>
          <w:szCs w:val="31"/>
          <w:lang w:val="en-US" w:eastAsia="zh-CN"/>
        </w:rPr>
        <w:t>公开</w:t>
      </w:r>
      <w:r>
        <w:rPr>
          <w:rFonts w:hint="default" w:ascii="KaiTi_GB2312" w:hAnsi="KaiTi_GB2312" w:eastAsia="KaiTi_GB2312" w:cs="KaiTi_GB2312"/>
          <w:b/>
          <w:bCs/>
          <w:snapToGrid w:val="0"/>
          <w:color w:val="000000"/>
          <w:spacing w:val="5"/>
          <w:kern w:val="0"/>
          <w:sz w:val="31"/>
          <w:szCs w:val="31"/>
          <w:lang w:val="en-US" w:eastAsia="zh-Hans"/>
        </w:rPr>
        <w:t>表</w:t>
      </w:r>
    </w:p>
    <w:tbl>
      <w:tblPr>
        <w:tblStyle w:val="8"/>
        <w:tblpPr w:leftFromText="180" w:rightFromText="180" w:vertAnchor="text" w:horzAnchor="page" w:tblpX="940" w:tblpY="636"/>
        <w:tblOverlap w:val="never"/>
        <w:tblW w:w="98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4"/>
        <w:gridCol w:w="4690"/>
        <w:gridCol w:w="1398"/>
        <w:gridCol w:w="1338"/>
        <w:gridCol w:w="1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trPr>
        <w:tc>
          <w:tcPr>
            <w:tcW w:w="974" w:type="dxa"/>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表21</w:t>
            </w:r>
          </w:p>
        </w:tc>
        <w:tc>
          <w:tcPr>
            <w:tcW w:w="4690" w:type="dxa"/>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98" w:type="dxa"/>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458" w:type="dxa"/>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trPr>
        <w:tc>
          <w:tcPr>
            <w:tcW w:w="974" w:type="dxa"/>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8884" w:type="dxa"/>
            <w:gridSpan w:val="4"/>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2026</w:t>
            </w:r>
            <w:r>
              <w:rPr>
                <w:rFonts w:hint="default" w:ascii="宋体" w:hAnsi="宋体" w:eastAsia="宋体" w:cs="宋体"/>
                <w:b/>
                <w:i w:val="0"/>
                <w:snapToGrid w:val="0"/>
                <w:color w:val="000000"/>
                <w:kern w:val="0"/>
                <w:sz w:val="28"/>
                <w:szCs w:val="28"/>
                <w:u w:val="none"/>
                <w:lang w:val="en-US" w:eastAsia="zh-CN" w:bidi="ar"/>
              </w:rPr>
              <w:t>年</w:t>
            </w:r>
            <w:r>
              <w:rPr>
                <w:rFonts w:hint="eastAsia" w:ascii="宋体" w:hAnsi="宋体" w:eastAsia="宋体" w:cs="宋体"/>
                <w:b/>
                <w:i w:val="0"/>
                <w:snapToGrid w:val="0"/>
                <w:color w:val="000000"/>
                <w:kern w:val="0"/>
                <w:sz w:val="28"/>
                <w:szCs w:val="28"/>
                <w:u w:val="none"/>
                <w:lang w:val="en-US" w:eastAsia="zh-CN" w:bidi="ar"/>
              </w:rPr>
              <w:t>高昌区</w:t>
            </w:r>
            <w:r>
              <w:rPr>
                <w:rFonts w:hint="default" w:ascii="宋体" w:hAnsi="宋体" w:eastAsia="宋体" w:cs="宋体"/>
                <w:b/>
                <w:i w:val="0"/>
                <w:snapToGrid w:val="0"/>
                <w:color w:val="000000"/>
                <w:kern w:val="0"/>
                <w:sz w:val="28"/>
                <w:szCs w:val="28"/>
                <w:u w:val="none"/>
                <w:lang w:val="en-US" w:eastAsia="zh-CN" w:bidi="ar"/>
              </w:rPr>
              <w:t>社会保险基金预算收入表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9" w:hRule="atLeast"/>
        </w:trPr>
        <w:tc>
          <w:tcPr>
            <w:tcW w:w="974" w:type="dxa"/>
            <w:shd w:val="clear" w:color="auto" w:fill="FFFFFF"/>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4690" w:type="dxa"/>
            <w:shd w:val="clear" w:color="auto" w:fill="FFFFFF"/>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98" w:type="dxa"/>
            <w:shd w:val="clear" w:color="auto" w:fill="FFFFFF"/>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38" w:type="dxa"/>
            <w:shd w:val="clear" w:color="auto" w:fill="FFFFFF"/>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458" w:type="dxa"/>
            <w:shd w:val="clear" w:color="auto" w:fill="FFFFFF"/>
            <w:vAlign w:val="center"/>
          </w:tcPr>
          <w:p>
            <w:pPr>
              <w:keepNext w:val="0"/>
              <w:keepLines w:val="0"/>
              <w:widowControl/>
              <w:suppressLineNumbers w:val="0"/>
              <w:adjustRightInd w:val="0"/>
              <w:snapToGrid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1"/>
                <w:szCs w:val="21"/>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9"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科目编码</w:t>
            </w:r>
          </w:p>
        </w:tc>
        <w:tc>
          <w:tcPr>
            <w:tcW w:w="4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项目</w:t>
            </w:r>
          </w:p>
        </w:tc>
        <w:tc>
          <w:tcPr>
            <w:tcW w:w="13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2025</w:t>
            </w: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年</w:t>
            </w:r>
            <w:r>
              <w:rPr>
                <w:rFonts w:hint="default" w:asciiTheme="minorEastAsia" w:hAnsiTheme="minorEastAsia" w:eastAsiaTheme="minorEastAsia" w:cstheme="minorEastAsia"/>
                <w:b/>
                <w:bCs/>
                <w:i w:val="0"/>
                <w:snapToGrid w:val="0"/>
                <w:color w:val="000000"/>
                <w:kern w:val="0"/>
                <w:sz w:val="22"/>
                <w:szCs w:val="22"/>
                <w:highlight w:val="none"/>
                <w:u w:val="none"/>
                <w:lang w:val="en-US" w:eastAsia="zh-Hans" w:bidi="ar"/>
              </w:rPr>
              <w:t>完成</w:t>
            </w: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数</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i w:val="0"/>
                <w:snapToGrid w:val="0"/>
                <w:color w:val="000000"/>
                <w:kern w:val="0"/>
                <w:sz w:val="22"/>
                <w:szCs w:val="22"/>
                <w:highlight w:val="none"/>
                <w:u w:val="none"/>
                <w:lang w:val="en-US" w:eastAsia="zh-CN" w:bidi="ar"/>
              </w:rPr>
              <w:t>2026</w:t>
            </w: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年预算数</w:t>
            </w:r>
          </w:p>
        </w:tc>
        <w:tc>
          <w:tcPr>
            <w:tcW w:w="14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预算数为上年</w:t>
            </w:r>
          </w:p>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i w:val="0"/>
                <w:snapToGrid w:val="0"/>
                <w:color w:val="000000"/>
                <w:kern w:val="0"/>
                <w:sz w:val="22"/>
                <w:szCs w:val="22"/>
                <w:highlight w:val="none"/>
                <w:u w:val="none"/>
                <w:lang w:val="en-US" w:eastAsia="zh-Hans" w:bidi="ar"/>
              </w:rPr>
              <w:t>完成</w:t>
            </w:r>
            <w:r>
              <w:rPr>
                <w:rFonts w:hint="default" w:asciiTheme="minorEastAsia" w:hAnsiTheme="minorEastAsia" w:eastAsiaTheme="minorEastAsia" w:cstheme="minorEastAsia"/>
                <w:b/>
                <w:bCs/>
                <w:i w:val="0"/>
                <w:snapToGrid w:val="0"/>
                <w:color w:val="000000"/>
                <w:kern w:val="0"/>
                <w:sz w:val="22"/>
                <w:szCs w:val="22"/>
                <w:highlight w:val="none"/>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rPr>
            </w:pPr>
            <w:r>
              <w:rPr>
                <w:rFonts w:hint="eastAsia" w:asciiTheme="minorEastAsia" w:hAnsiTheme="minorEastAsia" w:eastAsiaTheme="minorEastAsia" w:cstheme="minorEastAsia"/>
                <w:b/>
                <w:bCs/>
                <w:sz w:val="22"/>
                <w:szCs w:val="28"/>
                <w:highlight w:val="none"/>
                <w:lang w:val="en-US" w:eastAsia="zh-CN"/>
              </w:rPr>
              <w:t>102</w:t>
            </w:r>
          </w:p>
        </w:tc>
        <w:tc>
          <w:tcPr>
            <w:tcW w:w="4690" w:type="dxa"/>
            <w:vMerge w:val="restart"/>
            <w:tcBorders>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rPr>
            </w:pPr>
            <w:r>
              <w:rPr>
                <w:rFonts w:hint="eastAsia" w:asciiTheme="minorEastAsia" w:hAnsiTheme="minorEastAsia" w:eastAsiaTheme="minorEastAsia" w:cstheme="minorEastAsia"/>
                <w:b/>
                <w:bCs/>
                <w:sz w:val="22"/>
                <w:szCs w:val="28"/>
                <w:highlight w:val="none"/>
                <w:lang w:val="en-US" w:eastAsia="zh-CN"/>
              </w:rPr>
              <w:t>社会保险基金收入合计</w:t>
            </w:r>
          </w:p>
        </w:tc>
        <w:tc>
          <w:tcPr>
            <w:tcW w:w="1398" w:type="dxa"/>
            <w:vMerge w:val="restart"/>
            <w:tcBorders>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49250.49</w:t>
            </w:r>
          </w:p>
        </w:tc>
        <w:tc>
          <w:tcPr>
            <w:tcW w:w="1338" w:type="dxa"/>
            <w:vMerge w:val="restart"/>
            <w:tcBorders>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49395.37</w:t>
            </w:r>
          </w:p>
        </w:tc>
        <w:tc>
          <w:tcPr>
            <w:tcW w:w="1458" w:type="dxa"/>
            <w:vMerge w:val="restart"/>
            <w:tcBorders>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100.29%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bottom w:val="single" w:color="000000" w:sz="4" w:space="0"/>
              <w:right w:val="single" w:color="000000" w:sz="4" w:space="0"/>
            </w:tcBorders>
            <w:shd w:val="clear" w:color="auto" w:fill="FFFFFF"/>
            <w:vAlign w:val="center"/>
          </w:tcPr>
          <w:p>
            <w:pPr>
              <w:widowControl w:val="0"/>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val="0"/>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val="0"/>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其中：保险费收入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27169.62</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27936.91</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102.82%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社会保险基金财政补贴收入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10558.28</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9687.25</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91.75%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154.41</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57</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36.91%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10201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一、企业职工基本养老保险基金收入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1020101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其中：企业职工基本养老保险费收入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1020102</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企业职工基本养老保险基金财政补贴收入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1020103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企业职工基本养老保险基金利息收入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10211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二、机关事业基本养老保险基金收入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35405.65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37631.89</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106.29%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1021101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其中：机关事业单位基本养老保险费收入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23816.8</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24815.89</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104.19%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1021102</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机关事业单位基本养老保险基金财政补贴收入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5500</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6700</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121.82%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1021103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机关事业单位基本养老保险基金利息收入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6.75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7</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103.70%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10210</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三、城乡居民基本养老保险基金收入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13844.84</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11763.48</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84.97%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1021001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其中：城乡居民基本养老保险费收入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3352.82</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3121.02</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93.09%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1021002</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城乡居民基本养老保险基金财政补贴收入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5058.28</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2987.25</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59.06%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1021003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 xml:space="preserve">      城乡居民基本养老保险基金利息收入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147.65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50</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right"/>
              <w:rPr>
                <w:rFonts w:hint="eastAsia" w:asciiTheme="minorEastAsia" w:hAnsiTheme="minorEastAsia" w:eastAsiaTheme="minorEastAsia" w:cstheme="minorEastAsia"/>
                <w:sz w:val="22"/>
                <w:szCs w:val="28"/>
                <w:highlight w:val="none"/>
                <w:lang w:val="en-US" w:eastAsia="zh-CN"/>
              </w:rPr>
            </w:pPr>
            <w:r>
              <w:rPr>
                <w:rFonts w:hint="eastAsia" w:asciiTheme="minorEastAsia" w:hAnsiTheme="minorEastAsia" w:eastAsiaTheme="minorEastAsia" w:cstheme="minorEastAsia"/>
                <w:sz w:val="22"/>
                <w:szCs w:val="28"/>
                <w:highlight w:val="none"/>
                <w:lang w:val="en-US" w:eastAsia="zh-CN"/>
              </w:rPr>
              <w:t>33.86%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10203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r>
              <w:rPr>
                <w:rFonts w:hint="eastAsia" w:asciiTheme="minorEastAsia" w:hAnsiTheme="minorEastAsia" w:eastAsiaTheme="minorEastAsia" w:cstheme="minorEastAsia"/>
                <w:b/>
                <w:bCs/>
                <w:sz w:val="22"/>
                <w:szCs w:val="28"/>
                <w:highlight w:val="none"/>
                <w:lang w:val="en-US" w:eastAsia="zh-CN"/>
              </w:rPr>
              <w:t>四、职工基本医疗保险基金收入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auto"/>
              <w:rPr>
                <w:rFonts w:hint="eastAsia" w:asciiTheme="minorEastAsia" w:hAnsiTheme="minorEastAsia" w:eastAsiaTheme="minorEastAsia" w:cstheme="minorEastAsia"/>
                <w:b/>
                <w:bCs/>
                <w:sz w:val="22"/>
                <w:szCs w:val="2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left"/>
              <w:rPr>
                <w:rFonts w:hint="eastAsia" w:asciiTheme="minorEastAsia" w:hAnsiTheme="minorEastAsia" w:eastAsiaTheme="minorEastAsia" w:cstheme="minorEastAsia"/>
                <w:sz w:val="22"/>
                <w:szCs w:val="28"/>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2"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1020301</w:t>
            </w:r>
          </w:p>
        </w:tc>
        <w:tc>
          <w:tcPr>
            <w:tcW w:w="4690"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adjustRightInd w:val="0"/>
              <w:snapToGrid w:val="0"/>
              <w:jc w:val="left"/>
              <w:textAlignment w:val="auto"/>
              <w:rPr>
                <w:rFonts w:hint="eastAsia" w:asciiTheme="minorEastAsia" w:hAnsiTheme="minorEastAsia" w:eastAsiaTheme="minorEastAsia" w:cstheme="minorEastAsia"/>
                <w:sz w:val="22"/>
                <w:szCs w:val="28"/>
                <w:highlight w:val="none"/>
              </w:rPr>
            </w:pPr>
            <w:r>
              <w:rPr>
                <w:rFonts w:hint="eastAsia" w:asciiTheme="minorEastAsia" w:hAnsiTheme="minorEastAsia" w:eastAsiaTheme="minorEastAsia" w:cstheme="minorEastAsia"/>
                <w:sz w:val="22"/>
                <w:szCs w:val="28"/>
                <w:highlight w:val="none"/>
                <w:lang w:val="en-US" w:eastAsia="zh-CN"/>
              </w:rPr>
              <w:t>其中：职工基本医疗保险费收入</w:t>
            </w:r>
          </w:p>
        </w:tc>
        <w:tc>
          <w:tcPr>
            <w:tcW w:w="13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c>
          <w:tcPr>
            <w:tcW w:w="14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rPr>
                <w:rFonts w:hint="eastAsia" w:asciiTheme="minorEastAsia" w:hAnsiTheme="minorEastAsia" w:eastAsiaTheme="minorEastAsia" w:cstheme="minorEastAsia"/>
                <w:sz w:val="22"/>
                <w:szCs w:val="28"/>
                <w:highlight w:val="none"/>
              </w:rPr>
            </w:pPr>
          </w:p>
        </w:tc>
      </w:tr>
    </w:tbl>
    <w:p>
      <w:pPr>
        <w:jc w:val="left"/>
        <w:rPr>
          <w:rFonts w:hint="default" w:ascii="Times New Roman" w:hAnsi="Times New Roman" w:cs="Times New Roman"/>
          <w:highlight w:val="none"/>
          <w:lang w:val="en-US" w:eastAsia="zh-Hans"/>
        </w:rPr>
      </w:pPr>
    </w:p>
    <w:tbl>
      <w:tblPr>
        <w:tblStyle w:val="8"/>
        <w:tblW w:w="9693" w:type="dxa"/>
        <w:tblInd w:w="-4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4119"/>
        <w:gridCol w:w="1271"/>
        <w:gridCol w:w="1440"/>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6" w:hRule="atLeast"/>
        </w:trPr>
        <w:tc>
          <w:tcPr>
            <w:tcW w:w="1393" w:type="dxa"/>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Theme="minorEastAsia" w:hAnsiTheme="minorEastAsia" w:eastAsiaTheme="minorEastAsia" w:cstheme="minorEastAsia"/>
                <w:snapToGrid w:val="0"/>
                <w:color w:val="000000"/>
                <w:kern w:val="0"/>
                <w:sz w:val="22"/>
                <w:szCs w:val="22"/>
                <w:highlight w:val="none"/>
                <w:lang w:val="en-US" w:eastAsia="zh-CN"/>
              </w:rPr>
              <w:t>表22</w:t>
            </w:r>
          </w:p>
        </w:tc>
        <w:tc>
          <w:tcPr>
            <w:tcW w:w="4119" w:type="dxa"/>
            <w:vAlign w:val="center"/>
          </w:tcPr>
          <w:p>
            <w:pPr>
              <w:rPr>
                <w:rFonts w:hint="default" w:ascii="Times New Roman" w:hAnsi="Times New Roman" w:cs="Times New Roman"/>
                <w:highlight w:val="none"/>
              </w:rPr>
            </w:pPr>
          </w:p>
        </w:tc>
        <w:tc>
          <w:tcPr>
            <w:tcW w:w="1271" w:type="dxa"/>
            <w:vAlign w:val="center"/>
          </w:tcPr>
          <w:p>
            <w:pPr>
              <w:rPr>
                <w:rFonts w:hint="default" w:ascii="Times New Roman" w:hAnsi="Times New Roman" w:cs="Times New Roman"/>
                <w:highlight w:val="none"/>
              </w:rPr>
            </w:pPr>
          </w:p>
        </w:tc>
        <w:tc>
          <w:tcPr>
            <w:tcW w:w="1440" w:type="dxa"/>
            <w:vAlign w:val="center"/>
          </w:tcPr>
          <w:p>
            <w:pPr>
              <w:rPr>
                <w:rFonts w:hint="default" w:ascii="Times New Roman" w:hAnsi="Times New Roman" w:cs="Times New Roman"/>
                <w:highlight w:val="none"/>
              </w:rPr>
            </w:pPr>
          </w:p>
        </w:tc>
        <w:tc>
          <w:tcPr>
            <w:tcW w:w="1470" w:type="dxa"/>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93" w:type="dxa"/>
            <w:gridSpan w:val="5"/>
            <w:shd w:val="clear" w:color="auto" w:fill="FFFFFF"/>
            <w:vAlign w:val="center"/>
          </w:tcPr>
          <w:p>
            <w:pPr>
              <w:keepNext w:val="0"/>
              <w:keepLines w:val="0"/>
              <w:widowControl/>
              <w:suppressLineNumbers w:val="0"/>
              <w:jc w:val="center"/>
              <w:textAlignment w:val="auto"/>
              <w:rPr>
                <w:rFonts w:hint="default" w:ascii="Times New Roman" w:hAnsi="Times New Roman" w:cs="Times New Roman"/>
                <w:highlight w:val="none"/>
              </w:rPr>
            </w:pPr>
            <w:r>
              <w:rPr>
                <w:rFonts w:hint="eastAsia" w:ascii="宋体" w:hAnsi="宋体" w:eastAsia="宋体" w:cs="宋体"/>
                <w:b/>
                <w:i w:val="0"/>
                <w:snapToGrid w:val="0"/>
                <w:color w:val="000000"/>
                <w:kern w:val="0"/>
                <w:sz w:val="28"/>
                <w:szCs w:val="28"/>
                <w:u w:val="none"/>
                <w:lang w:val="en-US" w:eastAsia="zh-CN" w:bidi="ar"/>
              </w:rPr>
              <w:t>2026</w:t>
            </w:r>
            <w:r>
              <w:rPr>
                <w:rFonts w:hint="default" w:ascii="宋体" w:hAnsi="宋体" w:eastAsia="宋体" w:cs="宋体"/>
                <w:b/>
                <w:i w:val="0"/>
                <w:snapToGrid w:val="0"/>
                <w:color w:val="000000"/>
                <w:kern w:val="0"/>
                <w:sz w:val="28"/>
                <w:szCs w:val="28"/>
                <w:u w:val="none"/>
                <w:lang w:val="en-US" w:eastAsia="zh-CN" w:bidi="ar"/>
              </w:rPr>
              <w:t>年</w:t>
            </w:r>
            <w:r>
              <w:rPr>
                <w:rFonts w:hint="eastAsia" w:ascii="宋体" w:hAnsi="宋体" w:eastAsia="宋体" w:cs="宋体"/>
                <w:b/>
                <w:i w:val="0"/>
                <w:snapToGrid w:val="0"/>
                <w:color w:val="000000"/>
                <w:kern w:val="0"/>
                <w:sz w:val="28"/>
                <w:szCs w:val="28"/>
                <w:u w:val="none"/>
                <w:lang w:val="en-US" w:eastAsia="zh-CN" w:bidi="ar"/>
              </w:rPr>
              <w:t>高昌区</w:t>
            </w:r>
            <w:r>
              <w:rPr>
                <w:rFonts w:hint="default" w:ascii="宋体" w:hAnsi="宋体" w:eastAsia="宋体" w:cs="宋体"/>
                <w:b/>
                <w:i w:val="0"/>
                <w:snapToGrid w:val="0"/>
                <w:color w:val="000000"/>
                <w:kern w:val="0"/>
                <w:sz w:val="28"/>
                <w:szCs w:val="28"/>
                <w:u w:val="none"/>
                <w:lang w:val="en-US" w:eastAsia="zh-CN" w:bidi="ar"/>
              </w:rPr>
              <w:t>社会保险基金预算支出表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3" w:hRule="atLeast"/>
        </w:trPr>
        <w:tc>
          <w:tcPr>
            <w:tcW w:w="1393" w:type="dxa"/>
            <w:shd w:val="clear" w:color="auto" w:fill="FFFFFF"/>
            <w:vAlign w:val="center"/>
          </w:tcPr>
          <w:p>
            <w:pPr>
              <w:jc w:val="left"/>
              <w:rPr>
                <w:rFonts w:hint="default" w:ascii="Times New Roman" w:hAnsi="Times New Roman" w:cs="Times New Roman"/>
                <w:highlight w:val="none"/>
              </w:rPr>
            </w:pPr>
          </w:p>
        </w:tc>
        <w:tc>
          <w:tcPr>
            <w:tcW w:w="4119" w:type="dxa"/>
            <w:shd w:val="clear" w:color="auto" w:fill="FFFFFF"/>
            <w:vAlign w:val="center"/>
          </w:tcPr>
          <w:p>
            <w:pPr>
              <w:jc w:val="left"/>
              <w:rPr>
                <w:rFonts w:hint="default" w:ascii="Times New Roman" w:hAnsi="Times New Roman" w:cs="Times New Roman"/>
                <w:highlight w:val="none"/>
              </w:rPr>
            </w:pPr>
          </w:p>
        </w:tc>
        <w:tc>
          <w:tcPr>
            <w:tcW w:w="4181" w:type="dxa"/>
            <w:gridSpan w:val="3"/>
            <w:shd w:val="clear" w:color="auto" w:fill="FFFFFF"/>
            <w:vAlign w:val="center"/>
          </w:tcPr>
          <w:p>
            <w:pPr>
              <w:keepNext w:val="0"/>
              <w:keepLines w:val="0"/>
              <w:widowControl/>
              <w:suppressLineNumbers w:val="0"/>
              <w:jc w:val="right"/>
              <w:textAlignment w:val="auto"/>
              <w:rPr>
                <w:rFonts w:hint="default" w:ascii="Times New Roman" w:hAnsi="Times New Roman" w:cs="Times New Roman"/>
                <w:highlight w:val="none"/>
              </w:rPr>
            </w:pPr>
            <w:r>
              <w:rPr>
                <w:rFonts w:hint="default" w:asciiTheme="minorEastAsia" w:hAnsiTheme="minorEastAsia" w:eastAsiaTheme="minorEastAsia" w:cstheme="minorEastAsia"/>
                <w:snapToGrid w:val="0"/>
                <w:color w:val="000000"/>
                <w:kern w:val="0"/>
                <w:sz w:val="22"/>
                <w:szCs w:val="22"/>
                <w:highlight w:val="none"/>
                <w:lang w:val="en-US" w:eastAsia="zh-CN"/>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61"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科目编码</w:t>
            </w:r>
          </w:p>
        </w:tc>
        <w:tc>
          <w:tcPr>
            <w:tcW w:w="41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项 目</w:t>
            </w:r>
          </w:p>
        </w:tc>
        <w:tc>
          <w:tcPr>
            <w:tcW w:w="12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2025</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年</w:t>
            </w:r>
            <w: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t>完成</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数</w:t>
            </w:r>
          </w:p>
        </w:tc>
        <w:tc>
          <w:tcPr>
            <w:tcW w:w="14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2026</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年预算数</w:t>
            </w:r>
          </w:p>
        </w:tc>
        <w:tc>
          <w:tcPr>
            <w:tcW w:w="147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预算数为上年</w:t>
            </w:r>
          </w:p>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t>完成</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w:t>
            </w:r>
          </w:p>
        </w:tc>
        <w:tc>
          <w:tcPr>
            <w:tcW w:w="4119" w:type="dxa"/>
            <w:vMerge w:val="restart"/>
            <w:tcBorders>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社会保险基金支出合计</w:t>
            </w:r>
          </w:p>
        </w:tc>
        <w:tc>
          <w:tcPr>
            <w:tcW w:w="1271"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43915.17</w:t>
            </w:r>
          </w:p>
        </w:tc>
        <w:tc>
          <w:tcPr>
            <w:tcW w:w="1440"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46479.89</w:t>
            </w:r>
          </w:p>
        </w:tc>
        <w:tc>
          <w:tcPr>
            <w:tcW w:w="1470"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105.84%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一、企业职工基本养老保险基金支出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2090101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其中</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基本养老金</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20911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二、机关事业基本养老保险基金支出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35754.02</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37622.99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105.23%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2091101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其中</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基本养老金支出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35470.25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37324.99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105.23%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20910</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三、城乡居民基本养老保险基金支出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8161.15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8856.9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108.53%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2091001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其中</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基础养老金支出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8102.33</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8806.9</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108.7%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20903</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四、职工基本医疗保险基金支出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2090301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其中</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职工基本医疗保险统筹基金</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2090302</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职工基本医疗保险个人账户基金</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20912</w:t>
            </w:r>
          </w:p>
        </w:tc>
        <w:tc>
          <w:tcPr>
            <w:tcW w:w="4119" w:type="dxa"/>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五、城乡居民基本医疗保险基金支出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2091201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其中</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城乡居民基本医疗保险</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基本医疗</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待遇支出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2091202</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城乡居民大病保险支出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20904</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六、工伤保险基金支出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2090401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其中</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工伤保险待遇</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20902</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七、失业保险基金支出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2090201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i w:val="0"/>
                <w:iCs w:val="0"/>
                <w:snapToGrid w:val="0"/>
                <w:color w:val="000000"/>
                <w:kern w:val="0"/>
                <w:sz w:val="22"/>
                <w:szCs w:val="22"/>
                <w:u w:val="none"/>
                <w:lang w:val="en-US" w:eastAsia="zh-CN" w:bidi="ar"/>
              </w:rPr>
              <w:t xml:space="preserve">  其中</w:t>
            </w:r>
            <w:r>
              <w:rPr>
                <w:rFonts w:hint="eastAsia" w:asciiTheme="minorEastAsia" w:hAnsiTheme="minorEastAsia" w:eastAsiaTheme="minorEastAsia" w:cstheme="minorEastAsia"/>
                <w:i w:val="0"/>
                <w:iCs w:val="0"/>
                <w:snapToGrid w:val="0"/>
                <w:color w:val="000000"/>
                <w:kern w:val="0"/>
                <w:sz w:val="22"/>
                <w:szCs w:val="22"/>
                <w:u w:val="none"/>
                <w:lang w:val="en-US" w:eastAsia="zh-CN" w:bidi="ar"/>
              </w:rPr>
              <w:t>：</w:t>
            </w:r>
            <w:r>
              <w:rPr>
                <w:rFonts w:hint="default" w:asciiTheme="minorEastAsia" w:hAnsiTheme="minorEastAsia" w:eastAsiaTheme="minorEastAsia" w:cstheme="minorEastAsia"/>
                <w:i w:val="0"/>
                <w:iCs w:val="0"/>
                <w:snapToGrid w:val="0"/>
                <w:color w:val="000000"/>
                <w:kern w:val="0"/>
                <w:sz w:val="22"/>
                <w:szCs w:val="22"/>
                <w:u w:val="none"/>
                <w:lang w:val="en-US" w:eastAsia="zh-CN" w:bidi="ar"/>
              </w:rPr>
              <w:t>失业保险金</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209</w:t>
            </w: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99</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lef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八、其他社会保险基金支出-长期护理保险基金支出</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right"/>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20"/>
                <w:szCs w:val="20"/>
                <w:highlight w:val="none"/>
                <w:u w:val="none"/>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Times New Roman" w:hAnsi="Times New Roman" w:eastAsia="宋体" w:cs="Times New Roman"/>
                <w:i w:val="0"/>
                <w:color w:val="000000"/>
                <w:sz w:val="20"/>
                <w:szCs w:val="20"/>
                <w:highlight w:val="none"/>
                <w:u w:val="none"/>
              </w:rPr>
            </w:pPr>
          </w:p>
        </w:tc>
      </w:tr>
    </w:tbl>
    <w:p>
      <w:pPr>
        <w:jc w:val="left"/>
        <w:rPr>
          <w:rFonts w:hint="default" w:ascii="Times New Roman" w:hAnsi="Times New Roman" w:cs="Times New Roman"/>
          <w:highlight w:val="none"/>
          <w:lang w:val="en-US" w:eastAsia="zh-Hans"/>
        </w:rPr>
      </w:pPr>
    </w:p>
    <w:p>
      <w:pPr>
        <w:jc w:val="both"/>
        <w:rPr>
          <w:rFonts w:hint="default" w:ascii="Times New Roman" w:hAnsi="Times New Roman" w:cs="Times New Roman"/>
          <w:b w:val="0"/>
          <w:bCs w:val="0"/>
          <w:sz w:val="22"/>
          <w:szCs w:val="22"/>
          <w:highlight w:val="none"/>
          <w:lang w:val="en-US" w:eastAsia="zh-Hans"/>
        </w:rPr>
      </w:pPr>
    </w:p>
    <w:tbl>
      <w:tblPr>
        <w:tblStyle w:val="8"/>
        <w:tblpPr w:leftFromText="180" w:rightFromText="180" w:vertAnchor="text" w:horzAnchor="page" w:tblpX="1360" w:tblpY="312"/>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34"/>
        <w:gridCol w:w="3900"/>
        <w:gridCol w:w="1740"/>
        <w:gridCol w:w="1496"/>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400" w:type="dxa"/>
            <w:gridSpan w:val="5"/>
            <w:shd w:val="clear" w:color="auto" w:fill="FFFFFF"/>
            <w:vAlign w:val="center"/>
          </w:tcPr>
          <w:p>
            <w:pPr>
              <w:keepNext w:val="0"/>
              <w:keepLines w:val="0"/>
              <w:widowControl/>
              <w:suppressLineNumbers w:val="0"/>
              <w:jc w:val="left"/>
              <w:textAlignment w:val="center"/>
              <w:rPr>
                <w:rFonts w:hint="default" w:ascii="Times New Roman" w:hAnsi="Times New Roman" w:eastAsia="宋体" w:cs="Times New Roman"/>
                <w:b w:val="0"/>
                <w:bCs w:val="0"/>
                <w:i w:val="0"/>
                <w:color w:val="000000"/>
                <w:kern w:val="0"/>
                <w:sz w:val="20"/>
                <w:szCs w:val="20"/>
                <w:highlight w:val="none"/>
                <w:u w:val="none"/>
                <w:lang w:val="en-US" w:eastAsia="zh-Hans" w:bidi="ar"/>
              </w:rPr>
            </w:pPr>
            <w:r>
              <w:rPr>
                <w:rFonts w:hint="default" w:asciiTheme="minorEastAsia" w:hAnsiTheme="minorEastAsia" w:eastAsiaTheme="minorEastAsia" w:cstheme="minorEastAsia"/>
                <w:b w:val="0"/>
                <w:bCs w:val="0"/>
                <w:i w:val="0"/>
                <w:snapToGrid w:val="0"/>
                <w:color w:val="000000"/>
                <w:kern w:val="0"/>
                <w:sz w:val="22"/>
                <w:szCs w:val="22"/>
                <w:highlight w:val="none"/>
                <w:u w:val="none"/>
                <w:lang w:val="en-US" w:eastAsia="zh-Hans" w:bidi="ar"/>
              </w:rPr>
              <w:t>表</w:t>
            </w:r>
            <w:r>
              <w:rPr>
                <w:rFonts w:hint="default" w:asciiTheme="minorEastAsia" w:hAnsiTheme="minorEastAsia" w:eastAsiaTheme="minorEastAsia" w:cstheme="minorEastAsia"/>
                <w:b w:val="0"/>
                <w:bCs w:val="0"/>
                <w:i w:val="0"/>
                <w:snapToGrid w:val="0"/>
                <w:color w:val="000000"/>
                <w:kern w:val="0"/>
                <w:sz w:val="22"/>
                <w:szCs w:val="22"/>
                <w:highlight w:val="none"/>
                <w:u w:val="none"/>
                <w:lang w:eastAsia="zh-Hans"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400" w:type="dxa"/>
            <w:gridSpan w:val="5"/>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2026</w:t>
            </w:r>
            <w:r>
              <w:rPr>
                <w:rFonts w:hint="default" w:ascii="宋体" w:hAnsi="宋体" w:eastAsia="宋体" w:cs="宋体"/>
                <w:b/>
                <w:i w:val="0"/>
                <w:snapToGrid w:val="0"/>
                <w:color w:val="000000"/>
                <w:kern w:val="0"/>
                <w:sz w:val="28"/>
                <w:szCs w:val="28"/>
                <w:u w:val="none"/>
                <w:lang w:val="en-US" w:eastAsia="zh-CN" w:bidi="ar"/>
              </w:rPr>
              <w:t>年</w:t>
            </w:r>
            <w:r>
              <w:rPr>
                <w:rFonts w:hint="eastAsia" w:ascii="宋体" w:hAnsi="宋体" w:eastAsia="宋体" w:cs="宋体"/>
                <w:b/>
                <w:i w:val="0"/>
                <w:snapToGrid w:val="0"/>
                <w:color w:val="000000"/>
                <w:kern w:val="0"/>
                <w:sz w:val="28"/>
                <w:szCs w:val="28"/>
                <w:u w:val="none"/>
                <w:lang w:val="en-US" w:eastAsia="zh-CN" w:bidi="ar"/>
              </w:rPr>
              <w:t>高昌区</w:t>
            </w:r>
            <w:r>
              <w:rPr>
                <w:rFonts w:hint="default" w:ascii="宋体" w:hAnsi="宋体" w:eastAsia="宋体" w:cs="宋体"/>
                <w:b/>
                <w:i w:val="0"/>
                <w:snapToGrid w:val="0"/>
                <w:color w:val="000000"/>
                <w:kern w:val="0"/>
                <w:sz w:val="28"/>
                <w:szCs w:val="28"/>
                <w:u w:val="none"/>
                <w:lang w:val="en-US" w:eastAsia="zh-CN" w:bidi="ar"/>
              </w:rPr>
              <w:t>社会保险基金预算结余表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5" w:hRule="atLeast"/>
        </w:trPr>
        <w:tc>
          <w:tcPr>
            <w:tcW w:w="934"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3900"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1740"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1496"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科目编码</w:t>
            </w:r>
          </w:p>
        </w:tc>
        <w:tc>
          <w:tcPr>
            <w:tcW w:w="3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项 目</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2025</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年年末累计结余预计数</w:t>
            </w:r>
          </w:p>
        </w:tc>
        <w:tc>
          <w:tcPr>
            <w:tcW w:w="1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2026</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预算数为上年预计数的%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23009</w:t>
            </w:r>
          </w:p>
        </w:tc>
        <w:tc>
          <w:tcPr>
            <w:tcW w:w="3900" w:type="dxa"/>
            <w:vMerge w:val="restart"/>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社会保险基金年终结余合计</w:t>
            </w:r>
          </w:p>
        </w:tc>
        <w:tc>
          <w:tcPr>
            <w:tcW w:w="1740"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25835.84</w:t>
            </w:r>
          </w:p>
        </w:tc>
        <w:tc>
          <w:tcPr>
            <w:tcW w:w="1496"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30049.84</w:t>
            </w:r>
          </w:p>
        </w:tc>
        <w:tc>
          <w:tcPr>
            <w:tcW w:w="1330"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116.31%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934"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3900" w:type="dxa"/>
            <w:vMerge w:val="continue"/>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74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2300911</w:t>
            </w:r>
          </w:p>
        </w:tc>
        <w:tc>
          <w:tcPr>
            <w:tcW w:w="390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一、企业职工基本养老保险基金年终结余</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390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2300916</w:t>
            </w:r>
          </w:p>
        </w:tc>
        <w:tc>
          <w:tcPr>
            <w:tcW w:w="390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二、机关事业基本养老保险基金年终结余</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221.44</w:t>
            </w:r>
          </w:p>
        </w:tc>
        <w:tc>
          <w:tcPr>
            <w:tcW w:w="14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585.03</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264.19%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390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2300915</w:t>
            </w:r>
          </w:p>
        </w:tc>
        <w:tc>
          <w:tcPr>
            <w:tcW w:w="390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三、城乡居民基本养老保险基金年终结余</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25614.4</w:t>
            </w:r>
          </w:p>
        </w:tc>
        <w:tc>
          <w:tcPr>
            <w:tcW w:w="14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29464.81</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115.03%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390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2300913</w:t>
            </w:r>
          </w:p>
        </w:tc>
        <w:tc>
          <w:tcPr>
            <w:tcW w:w="390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四、职工基本医疗保险基金年终结余</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390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2300917</w:t>
            </w:r>
          </w:p>
        </w:tc>
        <w:tc>
          <w:tcPr>
            <w:tcW w:w="3900"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五、城乡居民基本医疗保险基金年终结余</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2300914</w:t>
            </w:r>
          </w:p>
        </w:tc>
        <w:tc>
          <w:tcPr>
            <w:tcW w:w="390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六、工伤保险基金年终结余</w:t>
            </w:r>
          </w:p>
        </w:tc>
        <w:tc>
          <w:tcPr>
            <w:tcW w:w="17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9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390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7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2300912</w:t>
            </w:r>
          </w:p>
        </w:tc>
        <w:tc>
          <w:tcPr>
            <w:tcW w:w="3900"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七、失业保险基金年终结余</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3900"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八、其他社会保险基金年末累计结余-长期护理保险基金年末累计结余</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bl>
    <w:p>
      <w:pPr>
        <w:wordWrap/>
        <w:jc w:val="center"/>
        <w:rPr>
          <w:rFonts w:hint="default" w:ascii="Times New Roman" w:hAnsi="Times New Roman" w:cs="Times New Roman"/>
          <w:b w:val="0"/>
          <w:bCs w:val="0"/>
          <w:sz w:val="22"/>
          <w:szCs w:val="22"/>
          <w:highlight w:val="none"/>
          <w:lang w:eastAsia="zh-Hans"/>
        </w:rPr>
      </w:pPr>
    </w:p>
    <w:p>
      <w:pPr>
        <w:jc w:val="both"/>
        <w:rPr>
          <w:rFonts w:hint="default" w:ascii="Times New Roman" w:hAnsi="Times New Roman" w:eastAsia="宋体" w:cs="Times New Roman"/>
          <w:b w:val="0"/>
          <w:bCs w:val="0"/>
          <w:sz w:val="22"/>
          <w:szCs w:val="22"/>
          <w:highlight w:val="none"/>
          <w:lang w:val="en-US" w:eastAsia="zh-CN"/>
        </w:rPr>
      </w:pPr>
    </w:p>
    <w:p>
      <w:pPr>
        <w:pStyle w:val="2"/>
        <w:rPr>
          <w:rFonts w:hint="default" w:ascii="Times New Roman" w:hAnsi="Times New Roman" w:eastAsia="宋体" w:cs="Times New Roman"/>
          <w:b w:val="0"/>
          <w:bCs w:val="0"/>
          <w:sz w:val="22"/>
          <w:szCs w:val="22"/>
          <w:highlight w:val="none"/>
          <w:lang w:val="en-US" w:eastAsia="zh-CN"/>
        </w:rPr>
      </w:pPr>
    </w:p>
    <w:p>
      <w:pPr>
        <w:rPr>
          <w:rFonts w:hint="default" w:ascii="Times New Roman" w:hAnsi="Times New Roman" w:eastAsia="宋体" w:cs="Times New Roman"/>
          <w:b w:val="0"/>
          <w:bCs w:val="0"/>
          <w:sz w:val="22"/>
          <w:szCs w:val="22"/>
          <w:highlight w:val="none"/>
          <w:lang w:val="en-US" w:eastAsia="zh-CN"/>
        </w:rPr>
      </w:pPr>
      <w:r>
        <w:rPr>
          <w:rFonts w:hint="default" w:ascii="Times New Roman" w:hAnsi="Times New Roman" w:eastAsia="宋体" w:cs="Times New Roman"/>
          <w:b w:val="0"/>
          <w:bCs w:val="0"/>
          <w:sz w:val="22"/>
          <w:szCs w:val="22"/>
          <w:highlight w:val="none"/>
          <w:lang w:val="en-US" w:eastAsia="zh-CN"/>
        </w:rPr>
        <w:br w:type="page"/>
      </w:r>
    </w:p>
    <w:tbl>
      <w:tblPr>
        <w:tblStyle w:val="8"/>
        <w:tblpPr w:leftFromText="180" w:rightFromText="180" w:vertAnchor="text" w:horzAnchor="page" w:tblpX="940" w:tblpY="636"/>
        <w:tblOverlap w:val="never"/>
        <w:tblW w:w="98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4"/>
        <w:gridCol w:w="4690"/>
        <w:gridCol w:w="1398"/>
        <w:gridCol w:w="1338"/>
        <w:gridCol w:w="1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trPr>
        <w:tc>
          <w:tcPr>
            <w:tcW w:w="974" w:type="dxa"/>
            <w:vAlign w:val="center"/>
          </w:tcPr>
          <w:p>
            <w:pPr>
              <w:keepNext w:val="0"/>
              <w:keepLines w:val="0"/>
              <w:widowControl/>
              <w:suppressLineNumbers w:val="0"/>
              <w:adjustRightInd w:val="0"/>
              <w:snapToGrid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表2</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4</w:t>
            </w:r>
          </w:p>
        </w:tc>
        <w:tc>
          <w:tcPr>
            <w:tcW w:w="4690" w:type="dxa"/>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1398" w:type="dxa"/>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1338" w:type="dxa"/>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1458" w:type="dxa"/>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 w:hRule="atLeast"/>
        </w:trPr>
        <w:tc>
          <w:tcPr>
            <w:tcW w:w="974" w:type="dxa"/>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8884" w:type="dxa"/>
            <w:gridSpan w:val="4"/>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2026</w:t>
            </w:r>
            <w:r>
              <w:rPr>
                <w:rFonts w:hint="default" w:ascii="宋体" w:hAnsi="宋体" w:eastAsia="宋体" w:cs="宋体"/>
                <w:b/>
                <w:i w:val="0"/>
                <w:snapToGrid w:val="0"/>
                <w:color w:val="000000"/>
                <w:kern w:val="0"/>
                <w:sz w:val="28"/>
                <w:szCs w:val="28"/>
                <w:u w:val="none"/>
                <w:lang w:val="en-US" w:eastAsia="zh-CN" w:bidi="ar"/>
              </w:rPr>
              <w:t>年</w:t>
            </w:r>
            <w:r>
              <w:rPr>
                <w:rFonts w:hint="eastAsia" w:ascii="宋体" w:hAnsi="宋体" w:eastAsia="宋体" w:cs="宋体"/>
                <w:b/>
                <w:i w:val="0"/>
                <w:snapToGrid w:val="0"/>
                <w:color w:val="000000"/>
                <w:kern w:val="0"/>
                <w:sz w:val="28"/>
                <w:szCs w:val="28"/>
                <w:u w:val="none"/>
                <w:lang w:val="en-US" w:eastAsia="zh-CN" w:bidi="ar"/>
              </w:rPr>
              <w:t>高昌区本级</w:t>
            </w:r>
            <w:r>
              <w:rPr>
                <w:rFonts w:hint="default" w:ascii="宋体" w:hAnsi="宋体" w:eastAsia="宋体" w:cs="宋体"/>
                <w:b/>
                <w:i w:val="0"/>
                <w:snapToGrid w:val="0"/>
                <w:color w:val="000000"/>
                <w:kern w:val="0"/>
                <w:sz w:val="28"/>
                <w:szCs w:val="28"/>
                <w:u w:val="none"/>
                <w:lang w:val="en-US" w:eastAsia="zh-CN" w:bidi="ar"/>
              </w:rPr>
              <w:t>社会保险基金预算收入表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9" w:hRule="atLeast"/>
        </w:trPr>
        <w:tc>
          <w:tcPr>
            <w:tcW w:w="974" w:type="dxa"/>
            <w:shd w:val="clear" w:color="auto" w:fill="FFFFFF"/>
            <w:vAlign w:val="center"/>
          </w:tcPr>
          <w:p>
            <w:pPr>
              <w:adjustRightInd w:val="0"/>
              <w:snapToGrid w:val="0"/>
              <w:rPr>
                <w:rFonts w:hint="default" w:ascii="Times New Roman" w:hAnsi="Times New Roman" w:eastAsia="宋体" w:cs="Times New Roman"/>
                <w:i w:val="0"/>
                <w:color w:val="000000"/>
                <w:sz w:val="20"/>
                <w:szCs w:val="20"/>
                <w:highlight w:val="none"/>
                <w:u w:val="none"/>
              </w:rPr>
            </w:pPr>
          </w:p>
        </w:tc>
        <w:tc>
          <w:tcPr>
            <w:tcW w:w="4690" w:type="dxa"/>
            <w:shd w:val="clear" w:color="auto" w:fill="FFFFFF"/>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98" w:type="dxa"/>
            <w:shd w:val="clear" w:color="auto" w:fill="FFFFFF"/>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38" w:type="dxa"/>
            <w:shd w:val="clear" w:color="auto" w:fill="FFFFFF"/>
            <w:vAlign w:val="center"/>
          </w:tcPr>
          <w:p>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458" w:type="dxa"/>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9"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科目编码</w:t>
            </w:r>
          </w:p>
        </w:tc>
        <w:tc>
          <w:tcPr>
            <w:tcW w:w="46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项目</w:t>
            </w:r>
          </w:p>
        </w:tc>
        <w:tc>
          <w:tcPr>
            <w:tcW w:w="13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2025</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年</w:t>
            </w:r>
            <w: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t>完成</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数</w:t>
            </w: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eastAsia" w:asciiTheme="minorEastAsia" w:hAnsiTheme="minorEastAsia" w:eastAsiaTheme="minorEastAsia" w:cstheme="minorEastAsia"/>
                <w:b/>
                <w:bCs/>
                <w:i w:val="0"/>
                <w:iCs w:val="0"/>
                <w:snapToGrid w:val="0"/>
                <w:color w:val="000000"/>
                <w:kern w:val="0"/>
                <w:sz w:val="22"/>
                <w:szCs w:val="22"/>
                <w:u w:val="none"/>
                <w:lang w:val="en-US" w:eastAsia="zh-CN" w:bidi="ar"/>
              </w:rPr>
              <w:t>2026</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年预算数</w:t>
            </w:r>
          </w:p>
        </w:tc>
        <w:tc>
          <w:tcPr>
            <w:tcW w:w="14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预算数为上年</w:t>
            </w:r>
          </w:p>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pPr>
            <w:r>
              <w:rPr>
                <w:rFonts w:hint="default" w:asciiTheme="minorEastAsia" w:hAnsiTheme="minorEastAsia" w:eastAsiaTheme="minorEastAsia" w:cstheme="minorEastAsia"/>
                <w:b/>
                <w:bCs/>
                <w:i w:val="0"/>
                <w:iCs w:val="0"/>
                <w:snapToGrid w:val="0"/>
                <w:color w:val="000000"/>
                <w:kern w:val="0"/>
                <w:sz w:val="22"/>
                <w:szCs w:val="22"/>
                <w:u w:val="none"/>
                <w:lang w:val="en-US" w:eastAsia="zh-Hans" w:bidi="ar"/>
              </w:rPr>
              <w:t>完成</w:t>
            </w:r>
            <w:r>
              <w:rPr>
                <w:rFonts w:hint="default" w:asciiTheme="minorEastAsia" w:hAnsiTheme="minorEastAsia" w:eastAsiaTheme="minorEastAsia" w:cstheme="minorEastAsia"/>
                <w:b/>
                <w:bCs/>
                <w:i w:val="0"/>
                <w:iCs w:val="0"/>
                <w:snapToGrid w:val="0"/>
                <w:color w:val="000000"/>
                <w:kern w:val="0"/>
                <w:sz w:val="22"/>
                <w:szCs w:val="22"/>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102</w:t>
            </w:r>
          </w:p>
        </w:tc>
        <w:tc>
          <w:tcPr>
            <w:tcW w:w="4690" w:type="dxa"/>
            <w:vMerge w:val="restart"/>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社会保险基金收入合计</w:t>
            </w:r>
          </w:p>
        </w:tc>
        <w:tc>
          <w:tcPr>
            <w:tcW w:w="1398"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49250.49</w:t>
            </w:r>
          </w:p>
        </w:tc>
        <w:tc>
          <w:tcPr>
            <w:tcW w:w="1338"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49395.37</w:t>
            </w:r>
          </w:p>
        </w:tc>
        <w:tc>
          <w:tcPr>
            <w:tcW w:w="1458"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100.29%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27169.62</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27936.91</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102.82%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社会保险基金财政补贴收入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10558.28</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9687.25</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91.75%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154.41</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57</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10201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一、企业职工基本养老保险基金收入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1020101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企业职工基本养老保险费收入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1020102</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w:t>
            </w:r>
            <w:r>
              <w:rPr>
                <w:rFonts w:hint="eastAsia" w:ascii="宋体" w:hAnsi="宋体" w:eastAsia="宋体" w:cs="宋体"/>
                <w:i w:val="0"/>
                <w:iCs w:val="0"/>
                <w:snapToGrid w:val="0"/>
                <w:color w:val="000000"/>
                <w:kern w:val="0"/>
                <w:sz w:val="22"/>
                <w:szCs w:val="22"/>
                <w:u w:val="none"/>
                <w:lang w:val="en-US" w:eastAsia="zh-CN" w:bidi="ar"/>
              </w:rPr>
              <w:t xml:space="preserve"> </w:t>
            </w:r>
            <w:r>
              <w:rPr>
                <w:rFonts w:hint="default" w:ascii="宋体" w:hAnsi="宋体" w:eastAsia="宋体" w:cs="宋体"/>
                <w:i w:val="0"/>
                <w:iCs w:val="0"/>
                <w:snapToGrid w:val="0"/>
                <w:color w:val="000000"/>
                <w:kern w:val="0"/>
                <w:sz w:val="22"/>
                <w:szCs w:val="22"/>
                <w:u w:val="none"/>
                <w:lang w:val="en-US" w:eastAsia="zh-CN" w:bidi="ar"/>
              </w:rPr>
              <w:t>企业职工基本养老保险基金财政补贴收入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1020103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w:t>
            </w:r>
            <w:r>
              <w:rPr>
                <w:rFonts w:hint="eastAsia" w:ascii="宋体" w:hAnsi="宋体" w:eastAsia="宋体" w:cs="宋体"/>
                <w:i w:val="0"/>
                <w:iCs w:val="0"/>
                <w:snapToGrid w:val="0"/>
                <w:color w:val="000000"/>
                <w:kern w:val="0"/>
                <w:sz w:val="22"/>
                <w:szCs w:val="22"/>
                <w:u w:val="none"/>
                <w:lang w:val="en-US" w:eastAsia="zh-CN" w:bidi="ar"/>
              </w:rPr>
              <w:t xml:space="preserve"> </w:t>
            </w:r>
            <w:r>
              <w:rPr>
                <w:rFonts w:hint="default" w:ascii="宋体" w:hAnsi="宋体" w:eastAsia="宋体" w:cs="宋体"/>
                <w:i w:val="0"/>
                <w:iCs w:val="0"/>
                <w:snapToGrid w:val="0"/>
                <w:color w:val="000000"/>
                <w:kern w:val="0"/>
                <w:sz w:val="22"/>
                <w:szCs w:val="22"/>
                <w:u w:val="none"/>
                <w:lang w:val="en-US" w:eastAsia="zh-CN" w:bidi="ar"/>
              </w:rPr>
              <w:t>企业职工基本养老保险基金利息收入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10211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二、机关事业基本养老保险基金收入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35405.65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37631.89</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106.29%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1021101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机关事业单位基本养老保险费收入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23816.8</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24815.89</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104.19%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1021102</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w:t>
            </w:r>
            <w:r>
              <w:rPr>
                <w:rFonts w:hint="eastAsia" w:ascii="宋体" w:hAnsi="宋体" w:eastAsia="宋体" w:cs="宋体"/>
                <w:i w:val="0"/>
                <w:iCs w:val="0"/>
                <w:snapToGrid w:val="0"/>
                <w:color w:val="000000"/>
                <w:kern w:val="0"/>
                <w:sz w:val="22"/>
                <w:szCs w:val="22"/>
                <w:u w:val="none"/>
                <w:lang w:val="en-US" w:eastAsia="zh-CN" w:bidi="ar"/>
              </w:rPr>
              <w:t xml:space="preserve"> </w:t>
            </w:r>
            <w:r>
              <w:rPr>
                <w:rFonts w:hint="default" w:ascii="宋体" w:hAnsi="宋体" w:eastAsia="宋体" w:cs="宋体"/>
                <w:i w:val="0"/>
                <w:iCs w:val="0"/>
                <w:snapToGrid w:val="0"/>
                <w:color w:val="000000"/>
                <w:kern w:val="0"/>
                <w:sz w:val="22"/>
                <w:szCs w:val="22"/>
                <w:u w:val="none"/>
                <w:lang w:val="en-US" w:eastAsia="zh-CN" w:bidi="ar"/>
              </w:rPr>
              <w:t>机关事业单位基本养老保险基金财政补贴收入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5500</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6700</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121.82%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1021103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w:t>
            </w:r>
            <w:r>
              <w:rPr>
                <w:rFonts w:hint="eastAsia" w:ascii="宋体" w:hAnsi="宋体" w:eastAsia="宋体" w:cs="宋体"/>
                <w:i w:val="0"/>
                <w:iCs w:val="0"/>
                <w:snapToGrid w:val="0"/>
                <w:color w:val="000000"/>
                <w:kern w:val="0"/>
                <w:sz w:val="22"/>
                <w:szCs w:val="22"/>
                <w:u w:val="none"/>
                <w:lang w:val="en-US" w:eastAsia="zh-CN" w:bidi="ar"/>
              </w:rPr>
              <w:t xml:space="preserve"> </w:t>
            </w:r>
            <w:r>
              <w:rPr>
                <w:rFonts w:hint="default" w:ascii="宋体" w:hAnsi="宋体" w:eastAsia="宋体" w:cs="宋体"/>
                <w:i w:val="0"/>
                <w:iCs w:val="0"/>
                <w:snapToGrid w:val="0"/>
                <w:color w:val="000000"/>
                <w:kern w:val="0"/>
                <w:sz w:val="22"/>
                <w:szCs w:val="22"/>
                <w:u w:val="none"/>
                <w:lang w:val="en-US" w:eastAsia="zh-CN" w:bidi="ar"/>
              </w:rPr>
              <w:t>机关事业单位基本养老保险基金利息收入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6.75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7</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103.70%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10210</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三、城乡居民基本养老保险基金收入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13844.84</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11763.48</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84.97%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1021001</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城乡居民基本养老保险费收入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3352.82</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3121.02</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93.09%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1021002</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w:t>
            </w:r>
            <w:r>
              <w:rPr>
                <w:rFonts w:hint="eastAsia" w:ascii="宋体" w:hAnsi="宋体" w:eastAsia="宋体" w:cs="宋体"/>
                <w:i w:val="0"/>
                <w:iCs w:val="0"/>
                <w:snapToGrid w:val="0"/>
                <w:color w:val="000000"/>
                <w:kern w:val="0"/>
                <w:sz w:val="22"/>
                <w:szCs w:val="22"/>
                <w:u w:val="none"/>
                <w:lang w:val="en-US" w:eastAsia="zh-CN" w:bidi="ar"/>
              </w:rPr>
              <w:t xml:space="preserve"> </w:t>
            </w:r>
            <w:r>
              <w:rPr>
                <w:rFonts w:hint="default" w:ascii="宋体" w:hAnsi="宋体" w:eastAsia="宋体" w:cs="宋体"/>
                <w:i w:val="0"/>
                <w:iCs w:val="0"/>
                <w:snapToGrid w:val="0"/>
                <w:color w:val="000000"/>
                <w:kern w:val="0"/>
                <w:sz w:val="22"/>
                <w:szCs w:val="22"/>
                <w:u w:val="none"/>
                <w:lang w:val="en-US" w:eastAsia="zh-CN" w:bidi="ar"/>
              </w:rPr>
              <w:t>城乡居民基本养老保险基金财政补贴收入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5058.28</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2987.25</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59.06%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1021003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w:t>
            </w:r>
            <w:r>
              <w:rPr>
                <w:rFonts w:hint="eastAsia" w:ascii="宋体" w:hAnsi="宋体" w:eastAsia="宋体" w:cs="宋体"/>
                <w:i w:val="0"/>
                <w:iCs w:val="0"/>
                <w:snapToGrid w:val="0"/>
                <w:color w:val="000000"/>
                <w:kern w:val="0"/>
                <w:sz w:val="22"/>
                <w:szCs w:val="22"/>
                <w:u w:val="none"/>
                <w:lang w:val="en-US" w:eastAsia="zh-CN" w:bidi="ar"/>
              </w:rPr>
              <w:t xml:space="preserve"> </w:t>
            </w:r>
            <w:r>
              <w:rPr>
                <w:rFonts w:hint="default" w:ascii="宋体" w:hAnsi="宋体" w:eastAsia="宋体" w:cs="宋体"/>
                <w:i w:val="0"/>
                <w:iCs w:val="0"/>
                <w:snapToGrid w:val="0"/>
                <w:color w:val="000000"/>
                <w:kern w:val="0"/>
                <w:sz w:val="22"/>
                <w:szCs w:val="22"/>
                <w:u w:val="none"/>
                <w:lang w:val="en-US" w:eastAsia="zh-CN" w:bidi="ar"/>
              </w:rPr>
              <w:t>城乡居民基本养老保险基金利息收入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147.65</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50</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33.86%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10203</w:t>
            </w:r>
          </w:p>
        </w:tc>
        <w:tc>
          <w:tcPr>
            <w:tcW w:w="4690"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四、职工基本医疗保险基金收入</w:t>
            </w:r>
          </w:p>
        </w:tc>
        <w:tc>
          <w:tcPr>
            <w:tcW w:w="139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690"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9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2"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1020301</w:t>
            </w:r>
          </w:p>
        </w:tc>
        <w:tc>
          <w:tcPr>
            <w:tcW w:w="4690"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职工基本医疗保险费收入</w:t>
            </w:r>
          </w:p>
        </w:tc>
        <w:tc>
          <w:tcPr>
            <w:tcW w:w="13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bl>
    <w:p>
      <w:pPr>
        <w:jc w:val="both"/>
        <w:rPr>
          <w:rFonts w:hint="default" w:ascii="Times New Roman" w:hAnsi="Times New Roman" w:cs="Times New Roman"/>
          <w:b w:val="0"/>
          <w:bCs w:val="0"/>
          <w:sz w:val="22"/>
          <w:szCs w:val="22"/>
          <w:highlight w:val="none"/>
          <w:lang w:val="en-US" w:eastAsia="zh-Hans"/>
        </w:rPr>
      </w:pPr>
    </w:p>
    <w:p>
      <w:pPr>
        <w:jc w:val="both"/>
        <w:rPr>
          <w:rFonts w:hint="default" w:ascii="Times New Roman" w:hAnsi="Times New Roman" w:cs="Times New Roman"/>
          <w:b w:val="0"/>
          <w:bCs w:val="0"/>
          <w:sz w:val="22"/>
          <w:szCs w:val="22"/>
          <w:highlight w:val="none"/>
          <w:lang w:val="en-US" w:eastAsia="zh-Hans"/>
        </w:rPr>
      </w:pPr>
    </w:p>
    <w:tbl>
      <w:tblPr>
        <w:tblStyle w:val="8"/>
        <w:tblW w:w="9678" w:type="dxa"/>
        <w:tblInd w:w="-4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4119"/>
        <w:gridCol w:w="1346"/>
        <w:gridCol w:w="1335"/>
        <w:gridCol w:w="14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06" w:hRule="atLeast"/>
        </w:trPr>
        <w:tc>
          <w:tcPr>
            <w:tcW w:w="1393" w:type="dxa"/>
            <w:vAlign w:val="center"/>
          </w:tcPr>
          <w:p>
            <w:pPr>
              <w:keepNext w:val="0"/>
              <w:keepLines w:val="0"/>
              <w:widowControl/>
              <w:suppressLineNumbers w:val="0"/>
              <w:jc w:val="left"/>
              <w:textAlignment w:val="auto"/>
              <w:rPr>
                <w:rFonts w:hint="default" w:ascii="Times New Roman" w:hAnsi="Times New Roman" w:cs="Times New Roman"/>
                <w:highlight w:val="none"/>
              </w:rPr>
            </w:pPr>
            <w:r>
              <w:rPr>
                <w:rFonts w:hint="default" w:ascii="宋体" w:hAnsi="宋体" w:eastAsia="宋体" w:cs="宋体"/>
                <w:i w:val="0"/>
                <w:iCs w:val="0"/>
                <w:snapToGrid w:val="0"/>
                <w:color w:val="000000"/>
                <w:kern w:val="0"/>
                <w:sz w:val="22"/>
                <w:szCs w:val="22"/>
                <w:u w:val="none"/>
                <w:lang w:val="en-US" w:eastAsia="zh-CN" w:bidi="ar"/>
              </w:rPr>
              <w:t>表2</w:t>
            </w:r>
            <w:r>
              <w:rPr>
                <w:rFonts w:hint="eastAsia" w:ascii="宋体" w:hAnsi="宋体" w:eastAsia="宋体" w:cs="宋体"/>
                <w:i w:val="0"/>
                <w:iCs w:val="0"/>
                <w:snapToGrid w:val="0"/>
                <w:color w:val="000000"/>
                <w:kern w:val="0"/>
                <w:sz w:val="22"/>
                <w:szCs w:val="22"/>
                <w:u w:val="none"/>
                <w:lang w:val="en-US" w:eastAsia="zh-CN" w:bidi="ar"/>
              </w:rPr>
              <w:t>5</w:t>
            </w:r>
          </w:p>
        </w:tc>
        <w:tc>
          <w:tcPr>
            <w:tcW w:w="4119" w:type="dxa"/>
            <w:vAlign w:val="center"/>
          </w:tcPr>
          <w:p>
            <w:pPr>
              <w:rPr>
                <w:rFonts w:hint="default" w:ascii="Times New Roman" w:hAnsi="Times New Roman" w:cs="Times New Roman"/>
                <w:highlight w:val="none"/>
              </w:rPr>
            </w:pPr>
          </w:p>
        </w:tc>
        <w:tc>
          <w:tcPr>
            <w:tcW w:w="1346" w:type="dxa"/>
            <w:vAlign w:val="center"/>
          </w:tcPr>
          <w:p>
            <w:pPr>
              <w:rPr>
                <w:rFonts w:hint="default" w:ascii="Times New Roman" w:hAnsi="Times New Roman" w:cs="Times New Roman"/>
                <w:highlight w:val="none"/>
              </w:rPr>
            </w:pPr>
          </w:p>
        </w:tc>
        <w:tc>
          <w:tcPr>
            <w:tcW w:w="1335" w:type="dxa"/>
            <w:vAlign w:val="center"/>
          </w:tcPr>
          <w:p>
            <w:pPr>
              <w:rPr>
                <w:rFonts w:hint="default" w:ascii="Times New Roman" w:hAnsi="Times New Roman" w:cs="Times New Roman"/>
                <w:highlight w:val="none"/>
              </w:rPr>
            </w:pPr>
          </w:p>
        </w:tc>
        <w:tc>
          <w:tcPr>
            <w:tcW w:w="1485" w:type="dxa"/>
            <w:vAlign w:val="center"/>
          </w:tcPr>
          <w:p>
            <w:pPr>
              <w:rPr>
                <w:rFonts w:hint="default" w:ascii="Times New Roman" w:hAnsi="Times New Roman" w:cs="Times New Roman"/>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678" w:type="dxa"/>
            <w:gridSpan w:val="5"/>
            <w:shd w:val="clear" w:color="auto" w:fill="FFFFFF"/>
            <w:vAlign w:val="center"/>
          </w:tcPr>
          <w:p>
            <w:pPr>
              <w:keepNext w:val="0"/>
              <w:keepLines w:val="0"/>
              <w:widowControl/>
              <w:suppressLineNumbers w:val="0"/>
              <w:jc w:val="center"/>
              <w:textAlignment w:val="auto"/>
              <w:rPr>
                <w:rFonts w:hint="default" w:ascii="Times New Roman" w:hAnsi="Times New Roman" w:cs="Times New Roman"/>
                <w:highlight w:val="none"/>
              </w:rPr>
            </w:pPr>
            <w:r>
              <w:rPr>
                <w:rFonts w:hint="eastAsia" w:ascii="宋体" w:hAnsi="宋体" w:eastAsia="宋体" w:cs="宋体"/>
                <w:b/>
                <w:bCs/>
                <w:i w:val="0"/>
                <w:iCs w:val="0"/>
                <w:snapToGrid w:val="0"/>
                <w:color w:val="000000"/>
                <w:kern w:val="0"/>
                <w:sz w:val="28"/>
                <w:szCs w:val="28"/>
                <w:u w:val="none"/>
                <w:lang w:val="en-US" w:eastAsia="zh-CN" w:bidi="ar"/>
              </w:rPr>
              <w:t>2026</w:t>
            </w:r>
            <w:r>
              <w:rPr>
                <w:rFonts w:hint="default" w:ascii="宋体" w:hAnsi="宋体" w:eastAsia="宋体" w:cs="宋体"/>
                <w:b/>
                <w:bCs/>
                <w:i w:val="0"/>
                <w:iCs w:val="0"/>
                <w:snapToGrid w:val="0"/>
                <w:color w:val="000000"/>
                <w:kern w:val="0"/>
                <w:sz w:val="28"/>
                <w:szCs w:val="28"/>
                <w:u w:val="none"/>
                <w:lang w:val="en-US" w:eastAsia="zh-CN" w:bidi="ar"/>
              </w:rPr>
              <w:t>年</w:t>
            </w:r>
            <w:r>
              <w:rPr>
                <w:rFonts w:hint="eastAsia" w:ascii="宋体" w:hAnsi="宋体" w:eastAsia="宋体" w:cs="宋体"/>
                <w:b/>
                <w:bCs/>
                <w:i w:val="0"/>
                <w:iCs w:val="0"/>
                <w:snapToGrid w:val="0"/>
                <w:color w:val="000000"/>
                <w:kern w:val="0"/>
                <w:sz w:val="28"/>
                <w:szCs w:val="28"/>
                <w:u w:val="none"/>
                <w:lang w:val="en-US" w:eastAsia="zh-CN" w:bidi="ar"/>
              </w:rPr>
              <w:t>高昌区本级</w:t>
            </w:r>
            <w:r>
              <w:rPr>
                <w:rFonts w:hint="default" w:ascii="宋体" w:hAnsi="宋体" w:eastAsia="宋体" w:cs="宋体"/>
                <w:b/>
                <w:bCs/>
                <w:i w:val="0"/>
                <w:iCs w:val="0"/>
                <w:snapToGrid w:val="0"/>
                <w:color w:val="000000"/>
                <w:kern w:val="0"/>
                <w:sz w:val="28"/>
                <w:szCs w:val="28"/>
                <w:u w:val="none"/>
                <w:lang w:val="en-US" w:eastAsia="zh-CN" w:bidi="ar"/>
              </w:rPr>
              <w:t>社会保险基金预算支出表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3" w:hRule="atLeast"/>
        </w:trPr>
        <w:tc>
          <w:tcPr>
            <w:tcW w:w="1393" w:type="dxa"/>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66" w:type="dxa"/>
            <w:gridSpan w:val="3"/>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86"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科目编码</w:t>
            </w:r>
          </w:p>
        </w:tc>
        <w:tc>
          <w:tcPr>
            <w:tcW w:w="41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项 目</w:t>
            </w:r>
          </w:p>
        </w:tc>
        <w:tc>
          <w:tcPr>
            <w:tcW w:w="134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2025</w:t>
            </w:r>
            <w:r>
              <w:rPr>
                <w:rFonts w:hint="default" w:ascii="宋体" w:hAnsi="宋体" w:eastAsia="宋体" w:cs="宋体"/>
                <w:b/>
                <w:bCs/>
                <w:i w:val="0"/>
                <w:iCs w:val="0"/>
                <w:snapToGrid w:val="0"/>
                <w:color w:val="000000"/>
                <w:kern w:val="0"/>
                <w:sz w:val="22"/>
                <w:szCs w:val="22"/>
                <w:u w:val="none"/>
                <w:lang w:val="en-US" w:eastAsia="zh-CN" w:bidi="ar"/>
              </w:rPr>
              <w:t>年</w:t>
            </w:r>
            <w:r>
              <w:rPr>
                <w:rFonts w:hint="default" w:ascii="宋体" w:hAnsi="宋体" w:eastAsia="宋体" w:cs="宋体"/>
                <w:b/>
                <w:bCs/>
                <w:i w:val="0"/>
                <w:iCs w:val="0"/>
                <w:snapToGrid w:val="0"/>
                <w:color w:val="000000"/>
                <w:kern w:val="0"/>
                <w:sz w:val="22"/>
                <w:szCs w:val="22"/>
                <w:u w:val="none"/>
                <w:lang w:val="en-US" w:eastAsia="zh-Hans" w:bidi="ar"/>
              </w:rPr>
              <w:t>完成</w:t>
            </w:r>
            <w:r>
              <w:rPr>
                <w:rFonts w:hint="default" w:ascii="宋体" w:hAnsi="宋体" w:eastAsia="宋体" w:cs="宋体"/>
                <w:b/>
                <w:bCs/>
                <w:i w:val="0"/>
                <w:iCs w:val="0"/>
                <w:snapToGrid w:val="0"/>
                <w:color w:val="000000"/>
                <w:kern w:val="0"/>
                <w:sz w:val="22"/>
                <w:szCs w:val="22"/>
                <w:u w:val="none"/>
                <w:lang w:val="en-US" w:eastAsia="zh-CN" w:bidi="ar"/>
              </w:rPr>
              <w:t>数</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2026</w:t>
            </w:r>
            <w:r>
              <w:rPr>
                <w:rFonts w:hint="default" w:ascii="宋体" w:hAnsi="宋体" w:eastAsia="宋体" w:cs="宋体"/>
                <w:b/>
                <w:bCs/>
                <w:i w:val="0"/>
                <w:iCs w:val="0"/>
                <w:snapToGrid w:val="0"/>
                <w:color w:val="000000"/>
                <w:kern w:val="0"/>
                <w:sz w:val="22"/>
                <w:szCs w:val="22"/>
                <w:u w:val="none"/>
                <w:lang w:val="en-US" w:eastAsia="zh-CN" w:bidi="ar"/>
              </w:rPr>
              <w:t>年预算数</w:t>
            </w:r>
          </w:p>
        </w:tc>
        <w:tc>
          <w:tcPr>
            <w:tcW w:w="14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预算数为上年</w:t>
            </w:r>
          </w:p>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Hans" w:bidi="ar"/>
              </w:rPr>
              <w:t>完成</w:t>
            </w:r>
            <w:r>
              <w:rPr>
                <w:rFonts w:hint="default" w:ascii="宋体" w:hAnsi="宋体" w:eastAsia="宋体" w:cs="宋体"/>
                <w:b/>
                <w:bCs/>
                <w:i w:val="0"/>
                <w:iCs w:val="0"/>
                <w:snapToGrid w:val="0"/>
                <w:color w:val="000000"/>
                <w:kern w:val="0"/>
                <w:sz w:val="22"/>
                <w:szCs w:val="22"/>
                <w:u w:val="none"/>
                <w:lang w:val="en-US" w:eastAsia="zh-CN" w:bidi="ar"/>
              </w:rPr>
              <w:t>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w:t>
            </w:r>
          </w:p>
        </w:tc>
        <w:tc>
          <w:tcPr>
            <w:tcW w:w="4119" w:type="dxa"/>
            <w:vMerge w:val="restart"/>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社会保险基金支出合计</w:t>
            </w:r>
          </w:p>
        </w:tc>
        <w:tc>
          <w:tcPr>
            <w:tcW w:w="1346"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43915.17</w:t>
            </w:r>
          </w:p>
        </w:tc>
        <w:tc>
          <w:tcPr>
            <w:tcW w:w="1335"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46479.89</w:t>
            </w:r>
          </w:p>
        </w:tc>
        <w:tc>
          <w:tcPr>
            <w:tcW w:w="1485"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105.84%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一、企业职工基本养老保险基金支出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2090101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基本养老金</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20911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二、机关事业基本养老保险基金支出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35754.02</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37622.99</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105.23%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2091101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基本养老金支出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35470.25</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37324.99</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105.23%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20910</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三、城乡居民基本养老保险基金支出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8161.15</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8856.9</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108.53%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2091001</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基础养老金支出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8102.33</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8806.9</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20903</w:t>
            </w:r>
          </w:p>
        </w:tc>
        <w:tc>
          <w:tcPr>
            <w:tcW w:w="4119"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四、职工基本医疗保险基金支出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2090301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职工基本医疗保险统筹基金</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2090302</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职工基本医疗保险个人账户基金</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20912</w:t>
            </w:r>
          </w:p>
        </w:tc>
        <w:tc>
          <w:tcPr>
            <w:tcW w:w="4119"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五、城乡居民基本医疗保险基金支出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2091201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城乡居民基本医疗保险</w:t>
            </w:r>
            <w:r>
              <w:rPr>
                <w:rFonts w:hint="eastAsia" w:ascii="宋体" w:hAnsi="宋体" w:cs="宋体"/>
                <w:i w:val="0"/>
                <w:iCs w:val="0"/>
                <w:snapToGrid w:val="0"/>
                <w:color w:val="000000"/>
                <w:kern w:val="0"/>
                <w:sz w:val="22"/>
                <w:szCs w:val="22"/>
                <w:u w:val="none"/>
                <w:lang w:val="en-US" w:eastAsia="zh-CN" w:bidi="ar"/>
              </w:rPr>
              <w:t>基本医疗</w:t>
            </w:r>
            <w:r>
              <w:rPr>
                <w:rFonts w:hint="default" w:ascii="宋体" w:hAnsi="宋体" w:eastAsia="宋体" w:cs="宋体"/>
                <w:i w:val="0"/>
                <w:iCs w:val="0"/>
                <w:snapToGrid w:val="0"/>
                <w:color w:val="000000"/>
                <w:kern w:val="0"/>
                <w:sz w:val="22"/>
                <w:szCs w:val="22"/>
                <w:u w:val="none"/>
                <w:lang w:val="en-US" w:eastAsia="zh-CN" w:bidi="ar"/>
              </w:rPr>
              <w:t>待遇支出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2091202</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城乡居民大病保险支出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20904</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六、工伤保险基金支出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2090401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工伤保险待遇</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20902</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七、失业保险基金支出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2090201</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 xml:space="preserve">  其中</w:t>
            </w:r>
            <w:r>
              <w:rPr>
                <w:rFonts w:hint="eastAsia" w:ascii="宋体" w:hAnsi="宋体" w:eastAsia="宋体" w:cs="宋体"/>
                <w:i w:val="0"/>
                <w:iCs w:val="0"/>
                <w:snapToGrid w:val="0"/>
                <w:color w:val="000000"/>
                <w:kern w:val="0"/>
                <w:sz w:val="22"/>
                <w:szCs w:val="22"/>
                <w:u w:val="none"/>
                <w:lang w:val="en-US" w:eastAsia="zh-CN" w:bidi="ar"/>
              </w:rPr>
              <w:t>：</w:t>
            </w:r>
            <w:r>
              <w:rPr>
                <w:rFonts w:hint="default" w:ascii="宋体" w:hAnsi="宋体" w:eastAsia="宋体" w:cs="宋体"/>
                <w:i w:val="0"/>
                <w:iCs w:val="0"/>
                <w:snapToGrid w:val="0"/>
                <w:color w:val="000000"/>
                <w:kern w:val="0"/>
                <w:sz w:val="22"/>
                <w:szCs w:val="22"/>
                <w:u w:val="none"/>
                <w:lang w:val="en-US" w:eastAsia="zh-CN" w:bidi="ar"/>
              </w:rPr>
              <w:t>失业保险金</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exac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209</w:t>
            </w:r>
            <w:r>
              <w:rPr>
                <w:rFonts w:hint="eastAsia" w:ascii="宋体" w:hAnsi="宋体" w:eastAsia="宋体" w:cs="宋体"/>
                <w:b/>
                <w:bCs/>
                <w:i w:val="0"/>
                <w:iCs w:val="0"/>
                <w:snapToGrid w:val="0"/>
                <w:color w:val="000000"/>
                <w:kern w:val="0"/>
                <w:sz w:val="22"/>
                <w:szCs w:val="22"/>
                <w:u w:val="none"/>
                <w:lang w:val="en-US" w:eastAsia="zh-CN" w:bidi="ar"/>
              </w:rPr>
              <w:t>99</w:t>
            </w:r>
          </w:p>
        </w:tc>
        <w:tc>
          <w:tcPr>
            <w:tcW w:w="411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八、其他社会保险基金支出-长期护理保险基金支出</w:t>
            </w:r>
          </w:p>
        </w:tc>
        <w:tc>
          <w:tcPr>
            <w:tcW w:w="134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4119" w:type="dxa"/>
            <w:vMerge w:val="continue"/>
            <w:tcBorders>
              <w:top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20"/>
                <w:szCs w:val="20"/>
                <w:highlight w:val="none"/>
                <w:u w:val="none"/>
              </w:rPr>
            </w:pPr>
          </w:p>
        </w:tc>
        <w:tc>
          <w:tcPr>
            <w:tcW w:w="134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Times New Roman" w:hAnsi="Times New Roman" w:eastAsia="宋体" w:cs="Times New Roman"/>
                <w:i w:val="0"/>
                <w:color w:val="000000"/>
                <w:sz w:val="20"/>
                <w:szCs w:val="20"/>
                <w:highlight w:val="none"/>
                <w:u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Times New Roman" w:hAnsi="Times New Roman" w:eastAsia="宋体" w:cs="Times New Roman"/>
                <w:i w:val="0"/>
                <w:color w:val="000000"/>
                <w:sz w:val="20"/>
                <w:szCs w:val="20"/>
                <w:highlight w:val="none"/>
                <w:u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Times New Roman" w:hAnsi="Times New Roman" w:eastAsia="宋体" w:cs="Times New Roman"/>
                <w:i w:val="0"/>
                <w:color w:val="000000"/>
                <w:sz w:val="20"/>
                <w:szCs w:val="20"/>
                <w:highlight w:val="none"/>
                <w:u w:val="none"/>
              </w:rPr>
            </w:pPr>
          </w:p>
        </w:tc>
      </w:tr>
    </w:tbl>
    <w:p>
      <w:pPr>
        <w:jc w:val="both"/>
        <w:rPr>
          <w:rFonts w:hint="default" w:ascii="Times New Roman" w:hAnsi="Times New Roman" w:cs="Times New Roman"/>
          <w:b w:val="0"/>
          <w:bCs w:val="0"/>
          <w:sz w:val="22"/>
          <w:szCs w:val="22"/>
          <w:highlight w:val="none"/>
          <w:lang w:val="en-US" w:eastAsia="zh-Hans"/>
        </w:rPr>
      </w:pPr>
    </w:p>
    <w:p>
      <w:pPr>
        <w:jc w:val="both"/>
        <w:rPr>
          <w:rFonts w:hint="default" w:ascii="Times New Roman" w:hAnsi="Times New Roman" w:cs="Times New Roman"/>
          <w:b w:val="0"/>
          <w:bCs w:val="0"/>
          <w:sz w:val="22"/>
          <w:szCs w:val="22"/>
          <w:highlight w:val="none"/>
          <w:lang w:val="en-US" w:eastAsia="zh-Hans"/>
        </w:rPr>
      </w:pPr>
    </w:p>
    <w:tbl>
      <w:tblPr>
        <w:tblStyle w:val="8"/>
        <w:tblpPr w:leftFromText="180" w:rightFromText="180" w:vertAnchor="text" w:horzAnchor="page" w:tblpX="1338" w:tblpY="297"/>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01"/>
        <w:gridCol w:w="4155"/>
        <w:gridCol w:w="1410"/>
        <w:gridCol w:w="1504"/>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400" w:type="dxa"/>
            <w:gridSpan w:val="5"/>
            <w:shd w:val="clear" w:color="auto" w:fill="FFFFFF"/>
            <w:vAlign w:val="center"/>
          </w:tcPr>
          <w:p>
            <w:pPr>
              <w:keepNext w:val="0"/>
              <w:keepLines w:val="0"/>
              <w:widowControl/>
              <w:suppressLineNumbers w:val="0"/>
              <w:jc w:val="left"/>
              <w:textAlignment w:val="center"/>
              <w:rPr>
                <w:rFonts w:hint="eastAsia" w:ascii="Times New Roman" w:hAnsi="Times New Roman" w:eastAsia="宋体" w:cs="Times New Roman"/>
                <w:b w:val="0"/>
                <w:bCs w:val="0"/>
                <w:i w:val="0"/>
                <w:color w:val="000000"/>
                <w:kern w:val="0"/>
                <w:sz w:val="20"/>
                <w:szCs w:val="20"/>
                <w:highlight w:val="none"/>
                <w:u w:val="none"/>
                <w:lang w:val="en-US" w:eastAsia="zh-CN" w:bidi="ar"/>
              </w:rPr>
            </w:pPr>
            <w:r>
              <w:rPr>
                <w:rFonts w:hint="default" w:ascii="宋体" w:hAnsi="宋体" w:eastAsia="宋体" w:cs="宋体"/>
                <w:i w:val="0"/>
                <w:iCs w:val="0"/>
                <w:snapToGrid w:val="0"/>
                <w:color w:val="000000"/>
                <w:kern w:val="0"/>
                <w:sz w:val="22"/>
                <w:szCs w:val="22"/>
                <w:u w:val="none"/>
                <w:lang w:val="en-US" w:eastAsia="zh-Hans" w:bidi="ar"/>
              </w:rPr>
              <w:t>表2</w:t>
            </w:r>
            <w:r>
              <w:rPr>
                <w:rFonts w:hint="eastAsia" w:ascii="宋体" w:hAnsi="宋体" w:eastAsia="宋体" w:cs="宋体"/>
                <w:i w:val="0"/>
                <w:iCs w:val="0"/>
                <w:snapToGrid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9400" w:type="dxa"/>
            <w:gridSpan w:val="5"/>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b/>
                <w:bCs/>
                <w:i w:val="0"/>
                <w:iCs w:val="0"/>
                <w:snapToGrid w:val="0"/>
                <w:color w:val="000000"/>
                <w:kern w:val="0"/>
                <w:sz w:val="28"/>
                <w:szCs w:val="28"/>
                <w:u w:val="none"/>
                <w:lang w:val="en-US" w:eastAsia="zh-CN" w:bidi="ar"/>
              </w:rPr>
              <w:t>2026</w:t>
            </w:r>
            <w:r>
              <w:rPr>
                <w:rFonts w:hint="default" w:ascii="宋体" w:hAnsi="宋体" w:eastAsia="宋体" w:cs="宋体"/>
                <w:b/>
                <w:bCs/>
                <w:i w:val="0"/>
                <w:iCs w:val="0"/>
                <w:snapToGrid w:val="0"/>
                <w:color w:val="000000"/>
                <w:kern w:val="0"/>
                <w:sz w:val="28"/>
                <w:szCs w:val="28"/>
                <w:u w:val="none"/>
                <w:lang w:val="en-US" w:eastAsia="zh-CN" w:bidi="ar"/>
              </w:rPr>
              <w:t>年</w:t>
            </w:r>
            <w:r>
              <w:rPr>
                <w:rFonts w:hint="eastAsia" w:ascii="宋体" w:hAnsi="宋体" w:eastAsia="宋体" w:cs="宋体"/>
                <w:b/>
                <w:bCs/>
                <w:i w:val="0"/>
                <w:iCs w:val="0"/>
                <w:snapToGrid w:val="0"/>
                <w:color w:val="000000"/>
                <w:kern w:val="0"/>
                <w:sz w:val="28"/>
                <w:szCs w:val="28"/>
                <w:u w:val="none"/>
                <w:lang w:val="en-US" w:eastAsia="zh-CN" w:bidi="ar"/>
              </w:rPr>
              <w:t>高昌区本级</w:t>
            </w:r>
            <w:r>
              <w:rPr>
                <w:rFonts w:hint="default" w:ascii="宋体" w:hAnsi="宋体" w:eastAsia="宋体" w:cs="宋体"/>
                <w:b/>
                <w:bCs/>
                <w:i w:val="0"/>
                <w:iCs w:val="0"/>
                <w:snapToGrid w:val="0"/>
                <w:color w:val="000000"/>
                <w:kern w:val="0"/>
                <w:sz w:val="28"/>
                <w:szCs w:val="28"/>
                <w:u w:val="none"/>
                <w:lang w:val="en-US" w:eastAsia="zh-CN" w:bidi="ar"/>
              </w:rPr>
              <w:t>社会保险基金预算结余表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5" w:hRule="atLeast"/>
        </w:trPr>
        <w:tc>
          <w:tcPr>
            <w:tcW w:w="1001"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4155"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1410"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1504" w:type="dxa"/>
            <w:shd w:val="clear" w:color="auto" w:fill="FFFFFF"/>
            <w:vAlign w:val="center"/>
          </w:tcPr>
          <w:p>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宋体" w:hAnsi="宋体" w:eastAsia="宋体" w:cs="宋体"/>
                <w:i w:val="0"/>
                <w:iCs w:val="0"/>
                <w:snapToGrid w:val="0"/>
                <w:color w:val="000000"/>
                <w:kern w:val="0"/>
                <w:sz w:val="22"/>
                <w:szCs w:val="2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科目编码</w:t>
            </w:r>
          </w:p>
        </w:tc>
        <w:tc>
          <w:tcPr>
            <w:tcW w:w="41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项 目</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2025</w:t>
            </w:r>
            <w:r>
              <w:rPr>
                <w:rFonts w:hint="default" w:ascii="宋体" w:hAnsi="宋体" w:eastAsia="宋体" w:cs="宋体"/>
                <w:b/>
                <w:bCs/>
                <w:i w:val="0"/>
                <w:iCs w:val="0"/>
                <w:snapToGrid w:val="0"/>
                <w:color w:val="000000"/>
                <w:kern w:val="0"/>
                <w:sz w:val="22"/>
                <w:szCs w:val="22"/>
                <w:u w:val="none"/>
                <w:lang w:val="en-US" w:eastAsia="zh-CN" w:bidi="ar"/>
              </w:rPr>
              <w:t>年年末累计结余预计数</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2026</w:t>
            </w:r>
            <w:r>
              <w:rPr>
                <w:rFonts w:hint="default" w:ascii="宋体" w:hAnsi="宋体" w:eastAsia="宋体" w:cs="宋体"/>
                <w:b/>
                <w:bCs/>
                <w:i w:val="0"/>
                <w:iCs w:val="0"/>
                <w:snapToGrid w:val="0"/>
                <w:color w:val="000000"/>
                <w:kern w:val="0"/>
                <w:sz w:val="22"/>
                <w:szCs w:val="22"/>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预算数为上年预计数的%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23009</w:t>
            </w:r>
          </w:p>
        </w:tc>
        <w:tc>
          <w:tcPr>
            <w:tcW w:w="4155" w:type="dxa"/>
            <w:vMerge w:val="restart"/>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default" w:ascii="宋体" w:hAnsi="宋体" w:eastAsia="宋体" w:cs="宋体"/>
                <w:b/>
                <w:bCs/>
                <w:i w:val="0"/>
                <w:iCs w:val="0"/>
                <w:snapToGrid w:val="0"/>
                <w:color w:val="000000"/>
                <w:kern w:val="0"/>
                <w:sz w:val="22"/>
                <w:szCs w:val="22"/>
                <w:u w:val="none"/>
                <w:lang w:val="en-US" w:eastAsia="zh-CN" w:bidi="ar"/>
              </w:rPr>
              <w:t>社会保险基金年终结余合计</w:t>
            </w:r>
          </w:p>
        </w:tc>
        <w:tc>
          <w:tcPr>
            <w:tcW w:w="1410"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25835.84</w:t>
            </w:r>
          </w:p>
        </w:tc>
        <w:tc>
          <w:tcPr>
            <w:tcW w:w="1504"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30049.84</w:t>
            </w:r>
          </w:p>
        </w:tc>
        <w:tc>
          <w:tcPr>
            <w:tcW w:w="1330" w:type="dxa"/>
            <w:vMerge w:val="restart"/>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116.31%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1001"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55" w:type="dxa"/>
            <w:vMerge w:val="continue"/>
            <w:tcBorders>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1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2300911</w:t>
            </w:r>
          </w:p>
        </w:tc>
        <w:tc>
          <w:tcPr>
            <w:tcW w:w="4155"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一、企业职工基本养老保险基金年终结余</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55"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2300916</w:t>
            </w:r>
          </w:p>
        </w:tc>
        <w:tc>
          <w:tcPr>
            <w:tcW w:w="4155"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二、机关事业基本养老保险基金年终结余</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221.44</w:t>
            </w:r>
          </w:p>
        </w:tc>
        <w:tc>
          <w:tcPr>
            <w:tcW w:w="15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585.03</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264.19%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55"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2300915</w:t>
            </w:r>
          </w:p>
        </w:tc>
        <w:tc>
          <w:tcPr>
            <w:tcW w:w="4155"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三、城乡居民基本养老保险基金年终结余</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25614.4</w:t>
            </w:r>
          </w:p>
        </w:tc>
        <w:tc>
          <w:tcPr>
            <w:tcW w:w="15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29464.81</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115.03%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55"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Layout w:type="fixed"/>
          <w:tblCellMar>
            <w:top w:w="15" w:type="dxa"/>
            <w:left w:w="15" w:type="dxa"/>
            <w:bottom w:w="15" w:type="dxa"/>
            <w:right w:w="15" w:type="dxa"/>
          </w:tblCellMar>
        </w:tblPrEx>
        <w:trPr>
          <w:trHeight w:val="380" w:hRule="atLeast"/>
        </w:trPr>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2300913</w:t>
            </w:r>
          </w:p>
        </w:tc>
        <w:tc>
          <w:tcPr>
            <w:tcW w:w="4155"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四、职工基本医疗保险基金年终结余</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55"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2300917</w:t>
            </w:r>
          </w:p>
        </w:tc>
        <w:tc>
          <w:tcPr>
            <w:tcW w:w="4155"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五、城乡居民基本医疗保险基金年终结余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2300914</w:t>
            </w:r>
          </w:p>
        </w:tc>
        <w:tc>
          <w:tcPr>
            <w:tcW w:w="4155" w:type="dxa"/>
            <w:vMerge w:val="restart"/>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六、工伤保险基金年终结余</w:t>
            </w: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55" w:type="dxa"/>
            <w:vMerge w:val="continue"/>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2300912</w:t>
            </w:r>
          </w:p>
        </w:tc>
        <w:tc>
          <w:tcPr>
            <w:tcW w:w="4155"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default" w:ascii="宋体" w:hAnsi="宋体" w:eastAsia="宋体" w:cs="宋体"/>
                <w:i w:val="0"/>
                <w:iCs w:val="0"/>
                <w:snapToGrid w:val="0"/>
                <w:color w:val="000000"/>
                <w:kern w:val="0"/>
                <w:sz w:val="22"/>
                <w:szCs w:val="22"/>
                <w:u w:val="none"/>
                <w:lang w:val="en-US" w:eastAsia="zh-CN" w:bidi="ar"/>
              </w:rPr>
              <w:t>七、失业保险基金年终结余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80" w:hRule="atLeast"/>
        </w:trPr>
        <w:tc>
          <w:tcPr>
            <w:tcW w:w="10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4155" w:type="dxa"/>
            <w:tcBorders>
              <w:top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八、其他社会保险基金年末累计结余-长期护理保险基金年末累计结余</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宋体" w:hAnsi="宋体" w:eastAsia="宋体" w:cs="宋体"/>
                <w:i w:val="0"/>
                <w:iCs w:val="0"/>
                <w:snapToGrid w:val="0"/>
                <w:color w:val="000000"/>
                <w:kern w:val="0"/>
                <w:sz w:val="22"/>
                <w:szCs w:val="22"/>
                <w:u w:val="none"/>
                <w:lang w:val="en-US" w:eastAsia="zh-CN" w:bidi="ar"/>
              </w:rPr>
            </w:pPr>
          </w:p>
        </w:tc>
      </w:tr>
    </w:tbl>
    <w:p>
      <w:pPr>
        <w:wordWrap/>
        <w:jc w:val="center"/>
        <w:rPr>
          <w:rFonts w:hint="default" w:ascii="Times New Roman" w:hAnsi="Times New Roman" w:cs="Times New Roman"/>
          <w:b w:val="0"/>
          <w:bCs w:val="0"/>
          <w:sz w:val="22"/>
          <w:szCs w:val="22"/>
          <w:highlight w:val="none"/>
          <w:lang w:eastAsia="zh-Hans"/>
        </w:rPr>
      </w:pPr>
    </w:p>
    <w:p>
      <w:pPr>
        <w:jc w:val="both"/>
        <w:rPr>
          <w:rFonts w:hint="default" w:ascii="Times New Roman" w:hAnsi="Times New Roman" w:eastAsia="宋体" w:cs="Times New Roman"/>
          <w:b w:val="0"/>
          <w:bCs w:val="0"/>
          <w:sz w:val="22"/>
          <w:szCs w:val="22"/>
          <w:highlight w:val="none"/>
          <w:lang w:val="en-US" w:eastAsia="zh-CN"/>
        </w:rPr>
      </w:pPr>
    </w:p>
    <w:p>
      <w:pPr>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br w:type="page"/>
      </w:r>
    </w:p>
    <w:p>
      <w:pPr>
        <w:pStyle w:val="2"/>
        <w:rPr>
          <w:rFonts w:hint="default"/>
          <w:highlight w:val="none"/>
          <w:lang w:val="en-US" w:eastAsia="zh-Hans"/>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jc w:val="center"/>
        <w:textAlignment w:val="baseline"/>
        <w:outlineLvl w:val="0"/>
        <w:rPr>
          <w:rFonts w:hint="default" w:ascii="黑体" w:hAnsi="黑体" w:eastAsia="黑体" w:cs="黑体"/>
          <w:snapToGrid w:val="0"/>
          <w:color w:val="000000"/>
          <w:spacing w:val="8"/>
          <w:kern w:val="0"/>
          <w:sz w:val="32"/>
          <w:szCs w:val="32"/>
          <w:lang w:val="en-US" w:eastAsia="zh-Hans"/>
        </w:rPr>
      </w:pPr>
      <w:r>
        <w:rPr>
          <w:rFonts w:hint="default" w:ascii="黑体" w:hAnsi="黑体" w:eastAsia="黑体" w:cs="黑体"/>
          <w:snapToGrid w:val="0"/>
          <w:color w:val="000000"/>
          <w:spacing w:val="8"/>
          <w:kern w:val="0"/>
          <w:sz w:val="32"/>
          <w:szCs w:val="32"/>
          <w:lang w:val="en-US" w:eastAsia="zh-Hans"/>
        </w:rPr>
        <w:t>第三部分</w:t>
      </w:r>
      <w:r>
        <w:rPr>
          <w:rFonts w:hint="default" w:ascii="黑体" w:hAnsi="黑体" w:eastAsia="黑体" w:cs="黑体"/>
          <w:snapToGrid w:val="0"/>
          <w:color w:val="000000"/>
          <w:spacing w:val="8"/>
          <w:kern w:val="0"/>
          <w:sz w:val="32"/>
          <w:szCs w:val="32"/>
          <w:lang w:eastAsia="zh-Hans"/>
        </w:rPr>
        <w:t xml:space="preserve">  </w:t>
      </w:r>
      <w:r>
        <w:rPr>
          <w:rFonts w:hint="eastAsia" w:ascii="黑体" w:hAnsi="黑体" w:eastAsia="黑体" w:cs="黑体"/>
          <w:snapToGrid w:val="0"/>
          <w:color w:val="000000"/>
          <w:spacing w:val="8"/>
          <w:kern w:val="0"/>
          <w:sz w:val="32"/>
          <w:szCs w:val="32"/>
          <w:lang w:val="en-US" w:eastAsia="zh-CN"/>
        </w:rPr>
        <w:t>财政拨款</w:t>
      </w:r>
      <w:r>
        <w:rPr>
          <w:rFonts w:hint="default" w:ascii="黑体" w:hAnsi="黑体" w:eastAsia="黑体" w:cs="黑体"/>
          <w:snapToGrid w:val="0"/>
          <w:color w:val="000000"/>
          <w:spacing w:val="8"/>
          <w:kern w:val="0"/>
          <w:sz w:val="32"/>
          <w:szCs w:val="32"/>
          <w:lang w:val="en-US" w:eastAsia="zh-Hans"/>
        </w:rPr>
        <w:t>“三公”经费预算情况说明</w:t>
      </w:r>
    </w:p>
    <w:p>
      <w:pPr>
        <w:jc w:val="both"/>
        <w:rPr>
          <w:rFonts w:hint="default" w:ascii="Times New Roman" w:hAnsi="Times New Roman" w:cs="Times New Roman"/>
          <w:b w:val="0"/>
          <w:bCs w:val="0"/>
          <w:sz w:val="22"/>
          <w:szCs w:val="22"/>
          <w:highlight w:val="none"/>
          <w:lang w:val="en-US" w:eastAsia="zh-Hans"/>
        </w:rPr>
      </w:pPr>
    </w:p>
    <w:tbl>
      <w:tblPr>
        <w:tblStyle w:val="8"/>
        <w:tblW w:w="92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250"/>
        <w:gridCol w:w="1821"/>
        <w:gridCol w:w="1935"/>
        <w:gridCol w:w="2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250" w:type="dxa"/>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表27</w:t>
            </w:r>
          </w:p>
        </w:tc>
        <w:tc>
          <w:tcPr>
            <w:tcW w:w="1821" w:type="dxa"/>
            <w:vAlign w:val="center"/>
          </w:tcPr>
          <w:p>
            <w:pPr>
              <w:rPr>
                <w:rFonts w:hint="default" w:ascii="Times New Roman" w:hAnsi="Times New Roman" w:eastAsia="宋体" w:cs="Times New Roman"/>
                <w:i w:val="0"/>
                <w:color w:val="000000"/>
                <w:sz w:val="20"/>
                <w:szCs w:val="20"/>
                <w:highlight w:val="none"/>
                <w:u w:val="none"/>
              </w:rPr>
            </w:pPr>
          </w:p>
        </w:tc>
        <w:tc>
          <w:tcPr>
            <w:tcW w:w="1935" w:type="dxa"/>
            <w:vAlign w:val="center"/>
          </w:tcPr>
          <w:p>
            <w:pPr>
              <w:rPr>
                <w:rFonts w:hint="default" w:ascii="Times New Roman" w:hAnsi="Times New Roman" w:eastAsia="宋体" w:cs="Times New Roman"/>
                <w:i w:val="0"/>
                <w:color w:val="000000"/>
                <w:sz w:val="20"/>
                <w:szCs w:val="20"/>
                <w:highlight w:val="none"/>
                <w:u w:val="none"/>
              </w:rPr>
            </w:pPr>
          </w:p>
        </w:tc>
        <w:tc>
          <w:tcPr>
            <w:tcW w:w="2250" w:type="dxa"/>
            <w:vAlign w:val="center"/>
          </w:tcPr>
          <w:p>
            <w:pPr>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9256"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2026</w:t>
            </w:r>
            <w:r>
              <w:rPr>
                <w:rFonts w:hint="default" w:ascii="宋体" w:hAnsi="宋体" w:eastAsia="宋体" w:cs="宋体"/>
                <w:b/>
                <w:i w:val="0"/>
                <w:snapToGrid w:val="0"/>
                <w:color w:val="000000"/>
                <w:kern w:val="0"/>
                <w:sz w:val="28"/>
                <w:szCs w:val="28"/>
                <w:u w:val="none"/>
                <w:lang w:val="en-US" w:eastAsia="zh-CN" w:bidi="ar"/>
              </w:rPr>
              <w:t>年</w:t>
            </w:r>
            <w:r>
              <w:rPr>
                <w:rFonts w:hint="eastAsia" w:ascii="宋体" w:hAnsi="宋体" w:cs="宋体"/>
                <w:b/>
                <w:i w:val="0"/>
                <w:snapToGrid w:val="0"/>
                <w:color w:val="000000"/>
                <w:kern w:val="0"/>
                <w:sz w:val="28"/>
                <w:szCs w:val="28"/>
                <w:u w:val="none"/>
                <w:lang w:val="en-US" w:eastAsia="zh-CN" w:bidi="ar"/>
              </w:rPr>
              <w:t>高昌区</w:t>
            </w:r>
            <w:r>
              <w:rPr>
                <w:rFonts w:hint="eastAsia" w:ascii="宋体" w:hAnsi="宋体" w:eastAsia="宋体" w:cs="宋体"/>
                <w:b/>
                <w:i w:val="0"/>
                <w:snapToGrid w:val="0"/>
                <w:color w:val="000000"/>
                <w:kern w:val="0"/>
                <w:sz w:val="28"/>
                <w:szCs w:val="28"/>
                <w:u w:val="none"/>
                <w:lang w:val="en-US" w:eastAsia="zh-CN" w:bidi="ar"/>
              </w:rPr>
              <w:t>财政拨款</w:t>
            </w:r>
            <w:r>
              <w:rPr>
                <w:rFonts w:hint="default" w:ascii="宋体" w:hAnsi="宋体" w:eastAsia="宋体" w:cs="宋体"/>
                <w:b/>
                <w:i w:val="0"/>
                <w:snapToGrid w:val="0"/>
                <w:color w:val="000000"/>
                <w:kern w:val="0"/>
                <w:sz w:val="28"/>
                <w:szCs w:val="28"/>
                <w:u w:val="none"/>
                <w:lang w:val="en-US" w:eastAsia="zh-CN" w:bidi="ar"/>
              </w:rPr>
              <w:t>“三公”经费支出预算表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3250" w:type="dxa"/>
            <w:vAlign w:val="center"/>
          </w:tcPr>
          <w:p>
            <w:pPr>
              <w:rPr>
                <w:rFonts w:hint="default" w:ascii="Times New Roman" w:hAnsi="Times New Roman" w:eastAsia="宋体" w:cs="Times New Roman"/>
                <w:i w:val="0"/>
                <w:color w:val="000000"/>
                <w:sz w:val="20"/>
                <w:szCs w:val="20"/>
                <w:highlight w:val="none"/>
                <w:u w:val="none"/>
              </w:rPr>
            </w:pPr>
          </w:p>
        </w:tc>
        <w:tc>
          <w:tcPr>
            <w:tcW w:w="1821" w:type="dxa"/>
            <w:vAlign w:val="center"/>
          </w:tcPr>
          <w:p>
            <w:pPr>
              <w:rPr>
                <w:rFonts w:hint="default" w:ascii="Times New Roman" w:hAnsi="Times New Roman" w:eastAsia="宋体" w:cs="Times New Roman"/>
                <w:i w:val="0"/>
                <w:color w:val="000000"/>
                <w:sz w:val="20"/>
                <w:szCs w:val="20"/>
                <w:highlight w:val="none"/>
                <w:u w:val="none"/>
              </w:rPr>
            </w:pPr>
          </w:p>
        </w:tc>
        <w:tc>
          <w:tcPr>
            <w:tcW w:w="4185" w:type="dxa"/>
            <w:gridSpan w:val="2"/>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10" w:hRule="atLeast"/>
        </w:trPr>
        <w:tc>
          <w:tcPr>
            <w:tcW w:w="32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项目</w:t>
            </w:r>
          </w:p>
        </w:tc>
        <w:tc>
          <w:tcPr>
            <w:tcW w:w="18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2025</w:t>
            </w: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年预算数</w:t>
            </w:r>
          </w:p>
        </w:tc>
        <w:tc>
          <w:tcPr>
            <w:tcW w:w="19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2026</w:t>
            </w: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年预算数</w:t>
            </w:r>
          </w:p>
        </w:tc>
        <w:tc>
          <w:tcPr>
            <w:tcW w:w="22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比上年</w:t>
            </w: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预算数</w:t>
            </w: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增</w:t>
            </w: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减</w:t>
            </w: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w:t>
            </w: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合计</w:t>
            </w:r>
          </w:p>
        </w:tc>
        <w:tc>
          <w:tcPr>
            <w:tcW w:w="1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1363</w:t>
            </w:r>
          </w:p>
        </w:tc>
        <w:tc>
          <w:tcPr>
            <w:tcW w:w="19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1362</w:t>
            </w:r>
          </w:p>
        </w:tc>
        <w:tc>
          <w:tcPr>
            <w:tcW w:w="2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bCs w:val="0"/>
                <w:i w:val="0"/>
                <w:snapToGrid w:val="0"/>
                <w:color w:val="000000"/>
                <w:kern w:val="0"/>
                <w:sz w:val="22"/>
                <w:szCs w:val="22"/>
                <w:highlight w:val="none"/>
                <w:u w:val="none"/>
                <w:lang w:val="en-US" w:eastAsia="zh-CN" w:bidi="ar"/>
              </w:rPr>
              <w:t>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b/>
                <w:i w:val="0"/>
                <w:color w:val="000000"/>
                <w:sz w:val="20"/>
                <w:szCs w:val="20"/>
                <w:highlight w:val="none"/>
                <w:u w:val="none"/>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方正小标宋_GBK" w:cs="Times New Roman"/>
                <w:i w:val="0"/>
                <w:color w:val="000000"/>
                <w:sz w:val="20"/>
                <w:szCs w:val="20"/>
                <w:highlight w:val="none"/>
                <w:u w:val="none"/>
              </w:rPr>
            </w:pPr>
          </w:p>
        </w:tc>
        <w:tc>
          <w:tcPr>
            <w:tcW w:w="1935" w:type="dxa"/>
            <w:vMerge w:val="continue"/>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方正小标宋_GBK" w:cs="Times New Roman"/>
                <w:i w:val="0"/>
                <w:color w:val="000000"/>
                <w:sz w:val="20"/>
                <w:szCs w:val="20"/>
                <w:highlight w:val="none"/>
                <w:u w:val="none"/>
              </w:rPr>
            </w:pPr>
          </w:p>
        </w:tc>
        <w:tc>
          <w:tcPr>
            <w:tcW w:w="2250" w:type="dxa"/>
            <w:vMerge w:val="continue"/>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1.因公出国（境）费用</w:t>
            </w:r>
          </w:p>
        </w:tc>
        <w:tc>
          <w:tcPr>
            <w:tcW w:w="1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2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2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2.公务接待费</w:t>
            </w:r>
          </w:p>
        </w:tc>
        <w:tc>
          <w:tcPr>
            <w:tcW w:w="1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50</w:t>
            </w:r>
          </w:p>
        </w:tc>
        <w:tc>
          <w:tcPr>
            <w:tcW w:w="19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50</w:t>
            </w:r>
          </w:p>
        </w:tc>
        <w:tc>
          <w:tcPr>
            <w:tcW w:w="2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2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3.公务用车费</w:t>
            </w:r>
          </w:p>
        </w:tc>
        <w:tc>
          <w:tcPr>
            <w:tcW w:w="1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1313</w:t>
            </w:r>
          </w:p>
        </w:tc>
        <w:tc>
          <w:tcPr>
            <w:tcW w:w="19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1312</w:t>
            </w:r>
          </w:p>
        </w:tc>
        <w:tc>
          <w:tcPr>
            <w:tcW w:w="2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2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其中：（1）公务用车运行维护费</w:t>
            </w:r>
          </w:p>
        </w:tc>
        <w:tc>
          <w:tcPr>
            <w:tcW w:w="1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1113</w:t>
            </w:r>
          </w:p>
        </w:tc>
        <w:tc>
          <w:tcPr>
            <w:tcW w:w="19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1312</w:t>
            </w:r>
          </w:p>
        </w:tc>
        <w:tc>
          <w:tcPr>
            <w:tcW w:w="2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3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2250"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ind w:firstLine="660" w:firstLineChars="300"/>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（2）公务用车购置费</w:t>
            </w:r>
          </w:p>
        </w:tc>
        <w:tc>
          <w:tcPr>
            <w:tcW w:w="18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200</w:t>
            </w:r>
          </w:p>
        </w:tc>
        <w:tc>
          <w:tcPr>
            <w:tcW w:w="19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22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82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193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c>
          <w:tcPr>
            <w:tcW w:w="22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color w:val="000000"/>
                <w:sz w:val="20"/>
                <w:szCs w:val="20"/>
                <w:highlight w:val="none"/>
                <w:u w:val="none"/>
              </w:rPr>
            </w:pPr>
          </w:p>
        </w:tc>
      </w:tr>
    </w:tbl>
    <w:p>
      <w:pPr>
        <w:jc w:val="both"/>
        <w:rPr>
          <w:rFonts w:hint="default" w:ascii="Times New Roman" w:hAnsi="Times New Roman" w:cs="Times New Roman"/>
          <w:b w:val="0"/>
          <w:bCs w:val="0"/>
          <w:sz w:val="22"/>
          <w:szCs w:val="22"/>
          <w:highlight w:val="none"/>
          <w:lang w:val="en-US" w:eastAsia="zh-Hans"/>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Hans"/>
        </w:rPr>
        <w:t>一、</w:t>
      </w:r>
      <w:r>
        <w:rPr>
          <w:rFonts w:hint="eastAsia" w:eastAsia="楷体_GB2312" w:cs="Times New Roman"/>
          <w:b/>
          <w:bCs w:val="0"/>
          <w:spacing w:val="-4"/>
          <w:sz w:val="32"/>
          <w:szCs w:val="32"/>
          <w:highlight w:val="none"/>
          <w:lang w:val="en-US" w:eastAsia="zh-CN"/>
        </w:rPr>
        <w:t>高昌区</w:t>
      </w:r>
      <w:r>
        <w:rPr>
          <w:rFonts w:hint="default" w:ascii="Times New Roman" w:hAnsi="Times New Roman" w:eastAsia="楷体_GB2312" w:cs="Times New Roman"/>
          <w:b/>
          <w:bCs w:val="0"/>
          <w:spacing w:val="-4"/>
          <w:sz w:val="32"/>
          <w:szCs w:val="32"/>
          <w:highlight w:val="none"/>
          <w:lang w:val="en-US" w:eastAsia="zh-Hans"/>
        </w:rPr>
        <w:t>部门（单位）人员及车辆基本情况</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kern w:val="0"/>
          <w:sz w:val="32"/>
          <w:szCs w:val="32"/>
          <w:highlight w:val="none"/>
          <w:lang w:val="en-US" w:eastAsia="zh-Hans" w:bidi="ar"/>
        </w:rPr>
      </w:pPr>
      <w:bookmarkStart w:id="0" w:name="OLE_LINK1"/>
      <w:r>
        <w:rPr>
          <w:rFonts w:hint="eastAsia" w:ascii="仿宋_GB2312" w:hAnsi="仿宋_GB2312" w:eastAsia="仿宋_GB2312" w:cs="仿宋_GB2312"/>
          <w:color w:val="000000" w:themeColor="text1"/>
          <w:kern w:val="0"/>
          <w:sz w:val="32"/>
          <w:szCs w:val="32"/>
          <w:highlight w:val="none"/>
          <w:lang w:eastAsia="zh-Hans" w:bidi="ar"/>
          <w14:textFill>
            <w14:solidFill>
              <w14:schemeClr w14:val="tx1"/>
            </w14:solidFill>
          </w14:textFill>
        </w:rPr>
        <w:t>20</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26</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eastAsia="zh-CN" w:bidi="ar"/>
          <w14:textFill>
            <w14:solidFill>
              <w14:schemeClr w14:val="tx1"/>
            </w14:solidFill>
          </w14:textFill>
        </w:rPr>
        <w:t>高昌区</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共</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179</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个一级预算单位，财政供养人员共计</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8502</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人，人员构成：行政人员</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1702</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人，事业人员</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6799</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人，离休人员</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人（退休人员根据机关事业单位养老保险制度改革工作要求已经交由社保管理）；公务用车总数</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717</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辆。</w:t>
      </w:r>
    </w:p>
    <w:bookmarkEnd w:id="0"/>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27" w:firstLineChars="200"/>
        <w:jc w:val="both"/>
        <w:textAlignment w:val="auto"/>
        <w:outlineLvl w:val="9"/>
        <w:rPr>
          <w:rFonts w:hint="default" w:ascii="Times New Roman" w:hAnsi="Times New Roman" w:eastAsia="楷体_GB2312" w:cs="Times New Roman"/>
          <w:b/>
          <w:bCs w:val="0"/>
          <w:color w:val="000000" w:themeColor="text1"/>
          <w:spacing w:val="-4"/>
          <w:sz w:val="32"/>
          <w:szCs w:val="32"/>
          <w:highlight w:val="none"/>
          <w:lang w:val="en-US" w:eastAsia="zh-Hans"/>
          <w14:textFill>
            <w14:solidFill>
              <w14:schemeClr w14:val="tx1"/>
            </w14:solidFill>
          </w14:textFill>
        </w:rPr>
      </w:pPr>
      <w:r>
        <w:rPr>
          <w:rFonts w:hint="default" w:ascii="Times New Roman" w:hAnsi="Times New Roman" w:eastAsia="楷体_GB2312" w:cs="Times New Roman"/>
          <w:b/>
          <w:bCs w:val="0"/>
          <w:spacing w:val="-4"/>
          <w:sz w:val="32"/>
          <w:szCs w:val="32"/>
          <w:highlight w:val="none"/>
          <w:lang w:val="en-US" w:eastAsia="zh-CN"/>
        </w:rPr>
        <w:t>二、</w:t>
      </w:r>
      <w:r>
        <w:rPr>
          <w:rFonts w:hint="eastAsia" w:eastAsia="楷体_GB2312" w:cs="Times New Roman"/>
          <w:b/>
          <w:bCs w:val="0"/>
          <w:spacing w:val="-4"/>
          <w:sz w:val="32"/>
          <w:szCs w:val="32"/>
          <w:highlight w:val="none"/>
          <w:lang w:val="en-US" w:eastAsia="zh-CN"/>
        </w:rPr>
        <w:t>财政拨款</w:t>
      </w:r>
      <w:r>
        <w:rPr>
          <w:rFonts w:hint="default" w:ascii="Times New Roman" w:hAnsi="Times New Roman" w:eastAsia="楷体_GB2312" w:cs="Times New Roman"/>
          <w:b/>
          <w:bCs w:val="0"/>
          <w:spacing w:val="-4"/>
          <w:sz w:val="32"/>
          <w:szCs w:val="32"/>
          <w:highlight w:val="none"/>
          <w:lang w:val="en-US" w:eastAsia="zh-Hans"/>
        </w:rPr>
        <w:t>“三公”经费说明</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1.</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因公出国（境）费用：反映区本级行政事业单位工作人员公务出国（境）的住宿费、</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差旅</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费、伙食补助费、杂费、培训费等支出。包括学术会议、科研研讨会、文化交流和政府间、单位间的交往等。</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2.</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公务接待费：反映机关</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事业单位</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服务接待费等。包括餐费、住宿费等。</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eastAsia="zh-Hans"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3.</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公务用车购置：反映机关事业单位公务用车车辆购置（含车辆购置税）。包括执法执勤用车、特种专业技术用车和一般公务用车车辆报废更新等。</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leftChars="0" w:right="0" w:rightChars="0"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eastAsia="zh-Hans"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4.</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公务用车运行维护费：反映车辆日常维护维修及油料等支出。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27" w:firstLineChars="200"/>
        <w:jc w:val="both"/>
        <w:textAlignment w:val="auto"/>
        <w:outlineLvl w:val="9"/>
        <w:rPr>
          <w:rFonts w:hint="default" w:ascii="Times New Roman" w:hAnsi="Times New Roman" w:eastAsia="楷体_GB2312" w:cs="Times New Roman"/>
          <w:b/>
          <w:bCs w:val="0"/>
          <w:color w:val="000000" w:themeColor="text1"/>
          <w:spacing w:val="-4"/>
          <w:sz w:val="32"/>
          <w:szCs w:val="32"/>
          <w:highlight w:val="none"/>
          <w:lang w:val="en-US" w:eastAsia="zh-Hans"/>
          <w14:textFill>
            <w14:solidFill>
              <w14:schemeClr w14:val="tx1"/>
            </w14:solidFill>
          </w14:textFill>
        </w:rPr>
      </w:pPr>
      <w:r>
        <w:rPr>
          <w:rFonts w:hint="default" w:ascii="Times New Roman" w:hAnsi="Times New Roman" w:eastAsia="楷体_GB2312" w:cs="Times New Roman"/>
          <w:b/>
          <w:bCs w:val="0"/>
          <w:color w:val="000000" w:themeColor="text1"/>
          <w:spacing w:val="-4"/>
          <w:sz w:val="32"/>
          <w:szCs w:val="32"/>
          <w:highlight w:val="none"/>
          <w:lang w:val="en-US" w:eastAsia="zh-CN"/>
          <w14:textFill>
            <w14:solidFill>
              <w14:schemeClr w14:val="tx1"/>
            </w14:solidFill>
          </w14:textFill>
        </w:rPr>
        <w:t>三、</w:t>
      </w:r>
      <w:r>
        <w:rPr>
          <w:rFonts w:hint="eastAsia" w:eastAsia="楷体_GB2312" w:cs="Times New Roman"/>
          <w:b/>
          <w:bCs w:val="0"/>
          <w:color w:val="000000" w:themeColor="text1"/>
          <w:spacing w:val="-4"/>
          <w:sz w:val="32"/>
          <w:szCs w:val="32"/>
          <w:highlight w:val="none"/>
          <w:lang w:val="en-US" w:eastAsia="zh-CN"/>
          <w14:textFill>
            <w14:solidFill>
              <w14:schemeClr w14:val="tx1"/>
            </w14:solidFill>
          </w14:textFill>
        </w:rPr>
        <w:t>财政拨款</w:t>
      </w:r>
      <w:r>
        <w:rPr>
          <w:rFonts w:hint="default" w:ascii="Times New Roman" w:hAnsi="Times New Roman" w:eastAsia="楷体_GB2312" w:cs="Times New Roman"/>
          <w:b/>
          <w:bCs w:val="0"/>
          <w:color w:val="000000" w:themeColor="text1"/>
          <w:spacing w:val="-4"/>
          <w:sz w:val="32"/>
          <w:szCs w:val="32"/>
          <w:highlight w:val="none"/>
          <w:lang w:val="en-US" w:eastAsia="zh-Hans"/>
          <w14:textFill>
            <w14:solidFill>
              <w14:schemeClr w14:val="tx1"/>
            </w14:solidFill>
          </w14:textFill>
        </w:rPr>
        <w:t>“三公”经费预算总额情况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3" w:firstLineChars="200"/>
        <w:jc w:val="both"/>
        <w:textAlignment w:val="auto"/>
        <w:outlineLvl w:val="9"/>
        <w:rPr>
          <w:rFonts w:hint="eastAsia" w:ascii="仿宋_GB2312" w:hAnsi="仿宋_GB2312" w:eastAsia="仿宋_GB2312" w:cs="仿宋_GB2312"/>
          <w:b/>
          <w:bCs/>
          <w:color w:val="000000" w:themeColor="text1"/>
          <w:kern w:val="0"/>
          <w:sz w:val="32"/>
          <w:szCs w:val="32"/>
          <w:highlight w:val="none"/>
          <w:lang w:val="en-US" w:eastAsia="zh-Hans"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eastAsia="zh-Hans" w:bidi="ar"/>
          <w14:textFill>
            <w14:solidFill>
              <w14:schemeClr w14:val="tx1"/>
            </w14:solidFill>
          </w14:textFill>
        </w:rPr>
        <w:t>1</w:t>
      </w:r>
      <w:r>
        <w:rPr>
          <w:rFonts w:hint="eastAsia" w:ascii="仿宋_GB2312" w:hAnsi="仿宋_GB2312" w:eastAsia="仿宋_GB2312" w:cs="仿宋_GB2312"/>
          <w:b/>
          <w:bCs/>
          <w:color w:val="000000" w:themeColor="text1"/>
          <w:kern w:val="0"/>
          <w:sz w:val="32"/>
          <w:szCs w:val="32"/>
          <w:highlight w:val="none"/>
          <w:lang w:val="en-US" w:eastAsia="zh-CN" w:bidi="ar"/>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Hans" w:bidi="ar"/>
          <w14:textFill>
            <w14:solidFill>
              <w14:schemeClr w14:val="tx1"/>
            </w14:solidFill>
          </w14:textFill>
        </w:rPr>
        <w:t>基本情况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firstLineChars="200"/>
        <w:jc w:val="both"/>
        <w:textAlignment w:val="auto"/>
        <w:outlineLvl w:val="9"/>
        <w:rPr>
          <w:rFonts w:hint="eastAsia" w:ascii="仿宋_GB2312" w:hAnsi="仿宋_GB2312" w:eastAsia="仿宋_GB2312" w:cs="仿宋_GB2312"/>
          <w:b/>
          <w:bCs/>
          <w:color w:val="000000" w:themeColor="text1"/>
          <w:kern w:val="0"/>
          <w:sz w:val="32"/>
          <w:szCs w:val="32"/>
          <w:highlight w:val="none"/>
          <w:lang w:eastAsia="zh-Hans"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eastAsia="zh-Hans"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26</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年</w:t>
      </w:r>
      <w:r>
        <w:rPr>
          <w:rFonts w:hint="eastAsia" w:ascii="仿宋_GB2312" w:hAnsi="仿宋_GB2312" w:eastAsia="仿宋_GB2312" w:cs="仿宋_GB2312"/>
          <w:b w:val="0"/>
          <w:bCs w:val="0"/>
          <w:color w:val="000000" w:themeColor="text1"/>
          <w:kern w:val="0"/>
          <w:sz w:val="32"/>
          <w:szCs w:val="32"/>
          <w:highlight w:val="none"/>
          <w:lang w:eastAsia="zh-CN" w:bidi="ar"/>
          <w14:textFill>
            <w14:solidFill>
              <w14:schemeClr w14:val="tx1"/>
            </w14:solidFill>
          </w14:textFill>
        </w:rPr>
        <w:t>高昌区</w:t>
      </w:r>
      <w:r>
        <w:rPr>
          <w:rFonts w:hint="eastAsia" w:ascii="仿宋_GB2312" w:hAnsi="仿宋_GB2312" w:eastAsia="仿宋_GB2312" w:cs="仿宋_GB2312"/>
          <w:b w:val="0"/>
          <w:bCs w:val="0"/>
          <w:color w:val="000000" w:themeColor="text1"/>
          <w:kern w:val="0"/>
          <w:sz w:val="32"/>
          <w:szCs w:val="32"/>
          <w:highlight w:val="none"/>
          <w:lang w:eastAsia="zh-Hans"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三公</w:t>
      </w:r>
      <w:r>
        <w:rPr>
          <w:rFonts w:hint="eastAsia" w:ascii="仿宋_GB2312" w:hAnsi="仿宋_GB2312" w:eastAsia="仿宋_GB2312" w:cs="仿宋_GB2312"/>
          <w:b w:val="0"/>
          <w:bCs w:val="0"/>
          <w:color w:val="000000" w:themeColor="text1"/>
          <w:kern w:val="0"/>
          <w:sz w:val="32"/>
          <w:szCs w:val="32"/>
          <w:highlight w:val="none"/>
          <w:lang w:eastAsia="zh-Hans"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经费预算支出</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1362</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万元，较上年</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1363</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万元，下降</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0.07%</w:t>
      </w:r>
      <w:r>
        <w:rPr>
          <w:rFonts w:hint="eastAsia" w:ascii="仿宋_GB2312" w:hAnsi="仿宋_GB2312" w:eastAsia="仿宋_GB2312" w:cs="仿宋_GB2312"/>
          <w:b w:val="0"/>
          <w:bCs w:val="0"/>
          <w:color w:val="000000" w:themeColor="text1"/>
          <w:kern w:val="0"/>
          <w:sz w:val="32"/>
          <w:szCs w:val="32"/>
          <w:highlight w:val="none"/>
          <w:lang w:eastAsia="zh-Hans" w:bidi="ar"/>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其中公务接待费</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50</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万元，因公出国（境）费用</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0</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万元，公车费用</w:t>
      </w: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1312</w:t>
      </w:r>
      <w:r>
        <w:rPr>
          <w:rFonts w:hint="eastAsia" w:ascii="仿宋_GB2312" w:hAnsi="仿宋_GB2312" w:eastAsia="仿宋_GB2312" w:cs="仿宋_GB2312"/>
          <w:color w:val="000000" w:themeColor="text1"/>
          <w:kern w:val="0"/>
          <w:sz w:val="32"/>
          <w:szCs w:val="32"/>
          <w:highlight w:val="none"/>
          <w:lang w:val="en-US" w:eastAsia="zh-Hans" w:bidi="ar"/>
          <w14:textFill>
            <w14:solidFill>
              <w14:schemeClr w14:val="tx1"/>
            </w14:solidFill>
          </w14:textFill>
        </w:rPr>
        <w:t>万元。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3" w:firstLineChars="200"/>
        <w:jc w:val="both"/>
        <w:textAlignment w:val="auto"/>
        <w:outlineLvl w:val="9"/>
        <w:rPr>
          <w:rFonts w:hint="eastAsia" w:ascii="仿宋_GB2312" w:hAnsi="仿宋_GB2312" w:eastAsia="仿宋_GB2312" w:cs="仿宋_GB2312"/>
          <w:b/>
          <w:bCs/>
          <w:color w:val="000000" w:themeColor="text1"/>
          <w:kern w:val="0"/>
          <w:sz w:val="32"/>
          <w:szCs w:val="32"/>
          <w:highlight w:val="none"/>
          <w:lang w:val="en-US" w:eastAsia="zh-Hans"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eastAsia="zh-Hans" w:bidi="ar"/>
          <w14:textFill>
            <w14:solidFill>
              <w14:schemeClr w14:val="tx1"/>
            </w14:solidFill>
          </w14:textFill>
        </w:rPr>
        <w:t>2</w:t>
      </w:r>
      <w:r>
        <w:rPr>
          <w:rFonts w:hint="eastAsia" w:ascii="仿宋_GB2312" w:hAnsi="仿宋_GB2312" w:eastAsia="仿宋_GB2312" w:cs="仿宋_GB2312"/>
          <w:b/>
          <w:bCs/>
          <w:color w:val="000000" w:themeColor="text1"/>
          <w:kern w:val="0"/>
          <w:sz w:val="32"/>
          <w:szCs w:val="32"/>
          <w:highlight w:val="none"/>
          <w:lang w:eastAsia="zh-CN" w:bidi="ar"/>
          <w14:textFill>
            <w14:solidFill>
              <w14:schemeClr w14:val="tx1"/>
            </w14:solidFill>
          </w14:textFill>
        </w:rPr>
        <w:t>.</w:t>
      </w:r>
      <w:r>
        <w:rPr>
          <w:rFonts w:hint="eastAsia" w:ascii="仿宋_GB2312" w:hAnsi="仿宋_GB2312" w:eastAsia="仿宋_GB2312" w:cs="仿宋_GB2312"/>
          <w:b/>
          <w:bCs/>
          <w:color w:val="000000" w:themeColor="text1"/>
          <w:kern w:val="0"/>
          <w:sz w:val="32"/>
          <w:szCs w:val="32"/>
          <w:highlight w:val="none"/>
          <w:lang w:val="en-US" w:eastAsia="zh-Hans" w:bidi="ar"/>
          <w14:textFill>
            <w14:solidFill>
              <w14:schemeClr w14:val="tx1"/>
            </w14:solidFill>
          </w14:textFill>
        </w:rPr>
        <w:t>增减变化原因</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20</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26</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年“三公”经费下降的主要原因是：</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严格落实中央、自治区、市委、市政府相关规定，牢固树立“政府过紧日子”思想，从严控制大型表演活动，减少剪彩、庆祝会、表彰会、研讨会等各类活动，严格控制各类会议、出访活动，严格按照在编车辆按照标准核定公车运行维护费，精打细算，做到“三公”经费“只减不增”，</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重新核定公务用车数，对报废车辆进行</w:t>
      </w:r>
      <w:r>
        <w:rPr>
          <w:rFonts w:hint="eastAsia" w:ascii="仿宋_GB2312" w:hAnsi="仿宋_GB2312" w:eastAsia="仿宋_GB2312" w:cs="仿宋_GB2312"/>
          <w:b w:val="0"/>
          <w:bCs w:val="0"/>
          <w:color w:val="000000" w:themeColor="text1"/>
          <w:kern w:val="0"/>
          <w:sz w:val="32"/>
          <w:szCs w:val="32"/>
          <w:highlight w:val="none"/>
          <w:lang w:val="en-US" w:eastAsia="zh-CN" w:bidi="ar"/>
          <w14:textFill>
            <w14:solidFill>
              <w14:schemeClr w14:val="tx1"/>
            </w14:solidFill>
          </w14:textFill>
        </w:rPr>
        <w:t>资产</w:t>
      </w:r>
      <w:r>
        <w:rPr>
          <w:rFonts w:hint="eastAsia" w:ascii="仿宋_GB2312" w:hAnsi="仿宋_GB2312" w:eastAsia="仿宋_GB2312" w:cs="仿宋_GB2312"/>
          <w:b w:val="0"/>
          <w:bCs w:val="0"/>
          <w:color w:val="000000" w:themeColor="text1"/>
          <w:kern w:val="0"/>
          <w:sz w:val="32"/>
          <w:szCs w:val="32"/>
          <w:highlight w:val="none"/>
          <w:lang w:val="en-US" w:eastAsia="zh-Hans" w:bidi="ar"/>
          <w14:textFill>
            <w14:solidFill>
              <w14:schemeClr w14:val="tx1"/>
            </w14:solidFill>
          </w14:textFill>
        </w:rPr>
        <w:t>处置。</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p>
    <w:p>
      <w:pPr>
        <w:rPr>
          <w:rFonts w:hint="default"/>
          <w:lang w:val="en-US" w:eastAsia="zh-Hans"/>
        </w:rPr>
      </w:pPr>
      <w:r>
        <w:rPr>
          <w:rFonts w:hint="default"/>
          <w:lang w:val="en-US" w:eastAsia="zh-Hans"/>
        </w:rPr>
        <w:br w:type="page"/>
      </w:r>
    </w:p>
    <w:p>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第四部分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转移支付安排情况说明</w:t>
      </w:r>
    </w:p>
    <w:p>
      <w:pPr>
        <w:pStyle w:val="2"/>
        <w:rPr>
          <w:rFonts w:hint="default"/>
          <w:lang w:val="en-US" w:eastAsia="zh-Hans"/>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CN"/>
        </w:rPr>
        <w:t>一、</w:t>
      </w:r>
      <w:r>
        <w:rPr>
          <w:rFonts w:hint="default" w:ascii="Times New Roman" w:hAnsi="Times New Roman" w:eastAsia="楷体_GB2312" w:cs="Times New Roman"/>
          <w:b/>
          <w:bCs w:val="0"/>
          <w:spacing w:val="-4"/>
          <w:sz w:val="32"/>
          <w:szCs w:val="32"/>
          <w:highlight w:val="none"/>
          <w:lang w:val="en-US" w:eastAsia="zh-Hans"/>
        </w:rPr>
        <w:t>一般公共预算对下转移支付情况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1.提前告知的上级补助转移性收入预算194691万元。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返还性收入3694万元：包括增值税税收返还收入2113万元、消费税税收返还收入338万元、所得税基数返还收入1116万元、其他返还性收入127万元；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一般性转移支付收入185144万元：包括体制补助收入33170万元、均衡性转移支付收入32711万元、县级基本财力保障机制奖补资金收入18187万元、固定数额补助收入43907万元、巩固脱贫攻坚成果衔接乡村振兴转移支付收入13610万元、一般公共服务共同财政事权转移支付收入945万元、公共安全共同财政事权转移支付收入2493万元、教育共同财政事权转移支付收入10204万元、科学技术共同财政事权转移支付收入16万元、文化旅游体育与传媒共同财政事权转移支付收入706万元、社会保障和就业共同财政事权转移支付收入10113万元、医疗卫生共同财政事权转移支付收入6814万元、节能环保共同财政事权转移支付收入487万元、农林水共同财政事权转移支付收入7475万元、交通运输共同财政事权转移支付收入178万元、住房保障共同财政事权转移支付收入4126万元、灾害防治及应急管理共同财政事权转移支付收入2万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专项转移支付收入5853万元：包括一般公共服务15万元、卫生健康242万元、节能环保2011万元、农林水1254万元、交通运输2331万元。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上年结余收入预算118699万元。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40" w:firstLineChars="200"/>
        <w:jc w:val="both"/>
        <w:textAlignment w:val="auto"/>
        <w:outlineLvl w:val="9"/>
        <w:rPr>
          <w:rFonts w:hint="default" w:ascii="Times New Roman" w:hAnsi="Times New Roman" w:eastAsia="仿宋_GB2312" w:cs="Times New Roman"/>
          <w:b/>
          <w:spacing w:val="-4"/>
          <w:sz w:val="32"/>
          <w:szCs w:val="32"/>
          <w:highlight w:val="none"/>
          <w:lang w:val="en-US" w:eastAsia="zh-Hans"/>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3.调入资金预算30000万元，其中：政府性基金预算调入30000万元。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Hans"/>
        </w:rPr>
        <w:t>二、政府性基金对下转移支付情况</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640" w:firstLineChars="200"/>
        <w:textAlignment w:val="auto"/>
        <w:outlineLvl w:val="9"/>
        <w:rPr>
          <w:rFonts w:hint="default" w:ascii="Times New Roman" w:hAnsi="Times New Roman" w:eastAsia="仿宋_GB2312" w:cs="Times New Roman"/>
          <w:b w:val="0"/>
          <w:bCs w:val="0"/>
          <w:color w:val="000000"/>
          <w:kern w:val="0"/>
          <w:sz w:val="32"/>
          <w:szCs w:val="32"/>
          <w:highlight w:val="none"/>
          <w:lang w:eastAsia="zh-Hans" w:bidi="ar"/>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上级财政补助转移性收入预算3371万元。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56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CN"/>
        </w:rPr>
        <w:t>三、</w:t>
      </w:r>
      <w:r>
        <w:rPr>
          <w:rFonts w:hint="default" w:ascii="Times New Roman" w:hAnsi="Times New Roman" w:eastAsia="楷体_GB2312" w:cs="Times New Roman"/>
          <w:b/>
          <w:bCs w:val="0"/>
          <w:spacing w:val="-4"/>
          <w:sz w:val="32"/>
          <w:szCs w:val="32"/>
          <w:highlight w:val="none"/>
          <w:lang w:val="en-US" w:eastAsia="zh-Hans"/>
        </w:rPr>
        <w:t>国有资本经营预算对下转移支付情况</w:t>
      </w:r>
    </w:p>
    <w:p>
      <w:pPr>
        <w:numPr>
          <w:ilvl w:val="0"/>
          <w:numId w:val="0"/>
        </w:numPr>
        <w:autoSpaceDE w:val="0"/>
        <w:autoSpaceDN w:val="0"/>
        <w:spacing w:line="600" w:lineRule="exact"/>
        <w:ind w:firstLine="640" w:firstLineChars="200"/>
        <w:outlineLvl w:val="9"/>
        <w:rPr>
          <w:rFonts w:hint="default" w:ascii="Times New Roman" w:hAnsi="Times New Roman" w:eastAsia="仿宋_GB2312" w:cs="Times New Roman"/>
          <w:b w:val="0"/>
          <w:bCs w:val="0"/>
          <w:color w:val="000000"/>
          <w:kern w:val="0"/>
          <w:sz w:val="32"/>
          <w:szCs w:val="32"/>
          <w:highlight w:val="none"/>
          <w:lang w:eastAsia="zh-Hans" w:bidi="ar"/>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上级财政补助转移性收入预算19万元。</w:t>
      </w:r>
    </w:p>
    <w:p>
      <w:pPr>
        <w:rPr>
          <w:rFonts w:hint="default" w:ascii="Times New Roman" w:hAnsi="Times New Roman" w:eastAsia="仿宋_GB2312" w:cs="Times New Roman"/>
          <w:b w:val="0"/>
          <w:bCs w:val="0"/>
          <w:color w:val="000000"/>
          <w:kern w:val="0"/>
          <w:sz w:val="32"/>
          <w:szCs w:val="32"/>
          <w:highlight w:val="none"/>
          <w:lang w:eastAsia="zh-Hans" w:bidi="ar"/>
        </w:rPr>
      </w:pPr>
      <w:r>
        <w:rPr>
          <w:rFonts w:hint="default" w:ascii="Times New Roman" w:hAnsi="Times New Roman" w:eastAsia="仿宋_GB2312" w:cs="Times New Roman"/>
          <w:b w:val="0"/>
          <w:bCs w:val="0"/>
          <w:color w:val="000000"/>
          <w:kern w:val="0"/>
          <w:sz w:val="32"/>
          <w:szCs w:val="32"/>
          <w:highlight w:val="none"/>
          <w:lang w:eastAsia="zh-Hans" w:bidi="ar"/>
        </w:rPr>
        <w:br w:type="page"/>
      </w:r>
    </w:p>
    <w:p>
      <w:pPr>
        <w:pStyle w:val="2"/>
        <w:rPr>
          <w:rFonts w:hint="default"/>
          <w:lang w:val="en-US" w:eastAsia="zh-Hans"/>
        </w:rPr>
      </w:pPr>
    </w:p>
    <w:p>
      <w:pPr>
        <w:widowControl/>
        <w:jc w:val="center"/>
        <w:outlineLvl w:val="1"/>
        <w:rPr>
          <w:rFonts w:hint="default" w:ascii="Times New Roman" w:hAnsi="Times New Roman" w:eastAsia="黑体" w:cs="Times New Roman"/>
          <w:kern w:val="0"/>
          <w:sz w:val="32"/>
          <w:szCs w:val="32"/>
          <w:highlight w:val="none"/>
          <w:lang w:val="en-US" w:eastAsia="zh-CN"/>
        </w:rPr>
      </w:pPr>
      <w:r>
        <w:rPr>
          <w:rFonts w:hint="default" w:ascii="Times New Roman" w:hAnsi="Times New Roman" w:eastAsia="黑体" w:cs="Times New Roman"/>
          <w:kern w:val="0"/>
          <w:sz w:val="32"/>
          <w:szCs w:val="32"/>
          <w:highlight w:val="none"/>
          <w:lang w:val="en-US" w:eastAsia="zh-Hans"/>
        </w:rPr>
        <w:t>第五部分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地方政府债务</w:t>
      </w:r>
      <w:r>
        <w:rPr>
          <w:rFonts w:hint="default" w:ascii="Times New Roman" w:hAnsi="Times New Roman" w:eastAsia="黑体" w:cs="Times New Roman"/>
          <w:kern w:val="0"/>
          <w:sz w:val="32"/>
          <w:szCs w:val="32"/>
          <w:highlight w:val="none"/>
          <w:lang w:val="en-US" w:eastAsia="zh-CN"/>
        </w:rPr>
        <w:t>公开情况</w:t>
      </w:r>
    </w:p>
    <w:p>
      <w:pPr>
        <w:pStyle w:val="2"/>
        <w:rPr>
          <w:rFonts w:hint="default" w:ascii="Times New Roman" w:hAnsi="Times New Roman" w:cs="Times New Roman"/>
          <w:b w:val="0"/>
          <w:bCs w:val="0"/>
          <w:color w:val="auto"/>
          <w:sz w:val="22"/>
          <w:szCs w:val="22"/>
          <w:highlight w:val="none"/>
          <w:lang w:eastAsia="zh-Hans"/>
        </w:rPr>
      </w:pPr>
    </w:p>
    <w:tbl>
      <w:tblPr>
        <w:tblStyle w:val="8"/>
        <w:tblW w:w="9300" w:type="dxa"/>
        <w:tblInd w:w="-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25"/>
        <w:gridCol w:w="933"/>
        <w:gridCol w:w="754"/>
        <w:gridCol w:w="818"/>
        <w:gridCol w:w="869"/>
        <w:gridCol w:w="754"/>
        <w:gridCol w:w="613"/>
        <w:gridCol w:w="730"/>
        <w:gridCol w:w="854"/>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9300" w:type="dxa"/>
            <w:gridSpan w:val="10"/>
            <w:vAlign w:val="center"/>
          </w:tcPr>
          <w:p>
            <w:pPr>
              <w:keepNext w:val="0"/>
              <w:keepLines w:val="0"/>
              <w:widowControl/>
              <w:suppressLineNumbers w:val="0"/>
              <w:jc w:val="left"/>
              <w:textAlignment w:val="center"/>
              <w:rPr>
                <w:rFonts w:hint="default" w:ascii="Times New Roman" w:hAnsi="Times New Roman" w:eastAsia="宋体" w:cs="Times New Roman"/>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9300" w:type="dxa"/>
            <w:gridSpan w:val="10"/>
            <w:vAlign w:val="center"/>
          </w:tcPr>
          <w:p>
            <w:pPr>
              <w:keepNext w:val="0"/>
              <w:keepLines w:val="0"/>
              <w:widowControl/>
              <w:suppressLineNumbers w:val="0"/>
              <w:jc w:val="center"/>
              <w:textAlignment w:val="center"/>
              <w:rPr>
                <w:rFonts w:hint="default" w:ascii="宋体" w:hAnsi="宋体" w:eastAsia="宋体" w:cs="宋体"/>
                <w:b/>
                <w:i w:val="0"/>
                <w:snapToGrid w:val="0"/>
                <w:color w:val="000000"/>
                <w:kern w:val="0"/>
                <w:sz w:val="28"/>
                <w:szCs w:val="28"/>
                <w:u w:val="none"/>
                <w:lang w:val="en-US" w:eastAsia="zh-CN" w:bidi="ar"/>
              </w:rPr>
            </w:pPr>
            <w:r>
              <w:rPr>
                <w:rFonts w:hint="eastAsia" w:ascii="宋体" w:hAnsi="宋体" w:eastAsia="宋体" w:cs="宋体"/>
                <w:b/>
                <w:i w:val="0"/>
                <w:snapToGrid w:val="0"/>
                <w:color w:val="000000"/>
                <w:kern w:val="0"/>
                <w:sz w:val="28"/>
                <w:szCs w:val="28"/>
                <w:u w:val="none"/>
                <w:lang w:val="en-US" w:eastAsia="zh-CN" w:bidi="ar"/>
              </w:rPr>
              <w:t>上年度高昌区</w:t>
            </w:r>
            <w:r>
              <w:rPr>
                <w:rFonts w:hint="default" w:ascii="宋体" w:hAnsi="宋体" w:eastAsia="宋体" w:cs="宋体"/>
                <w:b/>
                <w:i w:val="0"/>
                <w:snapToGrid w:val="0"/>
                <w:color w:val="000000"/>
                <w:kern w:val="0"/>
                <w:sz w:val="28"/>
                <w:szCs w:val="28"/>
                <w:u w:val="none"/>
                <w:lang w:val="en-US" w:eastAsia="zh-CN" w:bidi="ar"/>
              </w:rPr>
              <w:t>政府债务限额、余额</w:t>
            </w:r>
          </w:p>
          <w:p>
            <w:pPr>
              <w:keepNext w:val="0"/>
              <w:keepLines w:val="0"/>
              <w:widowControl/>
              <w:suppressLineNumbers w:val="0"/>
              <w:jc w:val="center"/>
              <w:textAlignment w:val="center"/>
              <w:rPr>
                <w:rFonts w:hint="default" w:ascii="Times New Roman" w:hAnsi="Times New Roman" w:eastAsia="宋体" w:cs="Times New Roman"/>
                <w:b/>
                <w:bCs/>
                <w:i w:val="0"/>
                <w:color w:val="auto"/>
                <w:sz w:val="20"/>
                <w:szCs w:val="20"/>
                <w:highlight w:val="none"/>
                <w:u w:val="none"/>
              </w:rPr>
            </w:pPr>
            <w:r>
              <w:rPr>
                <w:rFonts w:hint="default" w:ascii="宋体" w:hAnsi="宋体" w:eastAsia="宋体" w:cs="宋体"/>
                <w:b/>
                <w:i w:val="0"/>
                <w:snapToGrid w:val="0"/>
                <w:color w:val="000000"/>
                <w:kern w:val="0"/>
                <w:sz w:val="28"/>
                <w:szCs w:val="28"/>
                <w:u w:val="none"/>
                <w:lang w:val="en-US" w:eastAsia="zh-CN" w:bidi="ar"/>
              </w:rPr>
              <w:t>（含一般债务限额、余额和专项债务限额、余额）情况表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825" w:type="dxa"/>
            <w:vAlign w:val="center"/>
          </w:tcPr>
          <w:p>
            <w:pPr>
              <w:rPr>
                <w:rFonts w:hint="default" w:ascii="Times New Roman" w:hAnsi="Times New Roman" w:eastAsia="宋体" w:cs="Times New Roman"/>
                <w:i w:val="0"/>
                <w:color w:val="auto"/>
                <w:sz w:val="20"/>
                <w:szCs w:val="20"/>
                <w:highlight w:val="none"/>
                <w:u w:val="none"/>
              </w:rPr>
            </w:pPr>
          </w:p>
        </w:tc>
        <w:tc>
          <w:tcPr>
            <w:tcW w:w="933" w:type="dxa"/>
            <w:vAlign w:val="center"/>
          </w:tcPr>
          <w:p>
            <w:pPr>
              <w:rPr>
                <w:rFonts w:hint="default" w:ascii="Times New Roman" w:hAnsi="Times New Roman" w:eastAsia="宋体" w:cs="Times New Roman"/>
                <w:i w:val="0"/>
                <w:color w:val="auto"/>
                <w:sz w:val="20"/>
                <w:szCs w:val="20"/>
                <w:highlight w:val="none"/>
                <w:u w:val="none"/>
              </w:rPr>
            </w:pPr>
          </w:p>
        </w:tc>
        <w:tc>
          <w:tcPr>
            <w:tcW w:w="754" w:type="dxa"/>
            <w:vAlign w:val="center"/>
          </w:tcPr>
          <w:p>
            <w:pPr>
              <w:rPr>
                <w:rFonts w:hint="default" w:ascii="Times New Roman" w:hAnsi="Times New Roman" w:eastAsia="宋体" w:cs="Times New Roman"/>
                <w:i w:val="0"/>
                <w:color w:val="auto"/>
                <w:sz w:val="20"/>
                <w:szCs w:val="20"/>
                <w:highlight w:val="none"/>
                <w:u w:val="none"/>
              </w:rPr>
            </w:pPr>
          </w:p>
        </w:tc>
        <w:tc>
          <w:tcPr>
            <w:tcW w:w="818" w:type="dxa"/>
            <w:vAlign w:val="center"/>
          </w:tcPr>
          <w:p>
            <w:pPr>
              <w:rPr>
                <w:rFonts w:hint="default" w:ascii="Times New Roman" w:hAnsi="Times New Roman" w:eastAsia="宋体" w:cs="Times New Roman"/>
                <w:i w:val="0"/>
                <w:color w:val="auto"/>
                <w:sz w:val="20"/>
                <w:szCs w:val="20"/>
                <w:highlight w:val="none"/>
                <w:u w:val="none"/>
              </w:rPr>
            </w:pPr>
          </w:p>
        </w:tc>
        <w:tc>
          <w:tcPr>
            <w:tcW w:w="869" w:type="dxa"/>
            <w:vAlign w:val="center"/>
          </w:tcPr>
          <w:p>
            <w:pPr>
              <w:rPr>
                <w:rFonts w:hint="default" w:ascii="Times New Roman" w:hAnsi="Times New Roman" w:eastAsia="宋体" w:cs="Times New Roman"/>
                <w:i w:val="0"/>
                <w:color w:val="auto"/>
                <w:sz w:val="20"/>
                <w:szCs w:val="20"/>
                <w:highlight w:val="none"/>
                <w:u w:val="none"/>
              </w:rPr>
            </w:pPr>
          </w:p>
        </w:tc>
        <w:tc>
          <w:tcPr>
            <w:tcW w:w="754" w:type="dxa"/>
            <w:vAlign w:val="center"/>
          </w:tcPr>
          <w:p>
            <w:pPr>
              <w:rPr>
                <w:rFonts w:hint="default" w:ascii="Times New Roman" w:hAnsi="Times New Roman" w:eastAsia="宋体" w:cs="Times New Roman"/>
                <w:i w:val="0"/>
                <w:color w:val="auto"/>
                <w:sz w:val="20"/>
                <w:szCs w:val="20"/>
                <w:highlight w:val="none"/>
                <w:u w:val="none"/>
              </w:rPr>
            </w:pPr>
          </w:p>
        </w:tc>
        <w:tc>
          <w:tcPr>
            <w:tcW w:w="613" w:type="dxa"/>
            <w:vAlign w:val="center"/>
          </w:tcPr>
          <w:p>
            <w:pPr>
              <w:rPr>
                <w:rFonts w:hint="default" w:ascii="Times New Roman" w:hAnsi="Times New Roman" w:eastAsia="宋体" w:cs="Times New Roman"/>
                <w:i w:val="0"/>
                <w:color w:val="auto"/>
                <w:sz w:val="20"/>
                <w:szCs w:val="20"/>
                <w:highlight w:val="none"/>
                <w:u w:val="none"/>
              </w:rPr>
            </w:pPr>
          </w:p>
        </w:tc>
        <w:tc>
          <w:tcPr>
            <w:tcW w:w="730" w:type="dxa"/>
            <w:vAlign w:val="center"/>
          </w:tcPr>
          <w:p>
            <w:pPr>
              <w:rPr>
                <w:rFonts w:hint="default" w:ascii="Times New Roman" w:hAnsi="Times New Roman" w:eastAsia="宋体" w:cs="Times New Roman"/>
                <w:i w:val="0"/>
                <w:color w:val="auto"/>
                <w:sz w:val="20"/>
                <w:szCs w:val="20"/>
                <w:highlight w:val="none"/>
                <w:u w:val="none"/>
              </w:rPr>
            </w:pPr>
          </w:p>
        </w:tc>
        <w:tc>
          <w:tcPr>
            <w:tcW w:w="854" w:type="dxa"/>
            <w:vAlign w:val="center"/>
          </w:tcPr>
          <w:p>
            <w:pPr>
              <w:rPr>
                <w:rFonts w:hint="default" w:ascii="Times New Roman" w:hAnsi="Times New Roman" w:eastAsia="宋体" w:cs="Times New Roman"/>
                <w:i w:val="0"/>
                <w:color w:val="auto"/>
                <w:sz w:val="20"/>
                <w:szCs w:val="20"/>
                <w:highlight w:val="none"/>
                <w:u w:val="none"/>
              </w:rPr>
            </w:pPr>
          </w:p>
        </w:tc>
        <w:tc>
          <w:tcPr>
            <w:tcW w:w="1150" w:type="dxa"/>
            <w:vAlign w:val="center"/>
          </w:tcPr>
          <w:p>
            <w:pPr>
              <w:keepNext w:val="0"/>
              <w:keepLines w:val="0"/>
              <w:widowControl/>
              <w:suppressLineNumbers w:val="0"/>
              <w:jc w:val="right"/>
              <w:textAlignment w:val="center"/>
              <w:rPr>
                <w:rFonts w:hint="default" w:ascii="Times New Roman" w:hAnsi="Times New Roman" w:eastAsia="宋体" w:cs="Times New Roman"/>
                <w:i w:val="0"/>
                <w:color w:val="auto"/>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82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行政区划名称</w:t>
            </w:r>
          </w:p>
        </w:tc>
        <w:tc>
          <w:tcPr>
            <w:tcW w:w="250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政府债务限额总额</w:t>
            </w:r>
          </w:p>
        </w:tc>
        <w:tc>
          <w:tcPr>
            <w:tcW w:w="2236"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其中：新增债务限额</w:t>
            </w:r>
          </w:p>
        </w:tc>
        <w:tc>
          <w:tcPr>
            <w:tcW w:w="2734"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政府债务余额预计执行数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8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p>
        </w:tc>
        <w:tc>
          <w:tcPr>
            <w:tcW w:w="93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合计</w:t>
            </w:r>
          </w:p>
        </w:tc>
        <w:tc>
          <w:tcPr>
            <w:tcW w:w="7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一般债务</w:t>
            </w:r>
          </w:p>
        </w:tc>
        <w:tc>
          <w:tcPr>
            <w:tcW w:w="81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专项债务</w:t>
            </w:r>
          </w:p>
        </w:tc>
        <w:tc>
          <w:tcPr>
            <w:tcW w:w="8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合计</w:t>
            </w:r>
          </w:p>
        </w:tc>
        <w:tc>
          <w:tcPr>
            <w:tcW w:w="7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一般债务</w:t>
            </w:r>
          </w:p>
        </w:tc>
        <w:tc>
          <w:tcPr>
            <w:tcW w:w="6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专项债务</w:t>
            </w:r>
          </w:p>
        </w:tc>
        <w:tc>
          <w:tcPr>
            <w:tcW w:w="7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合计</w:t>
            </w:r>
          </w:p>
        </w:tc>
        <w:tc>
          <w:tcPr>
            <w:tcW w:w="8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一般债务</w:t>
            </w:r>
          </w:p>
        </w:tc>
        <w:tc>
          <w:tcPr>
            <w:tcW w:w="11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bCs w:val="0"/>
                <w:i w:val="0"/>
                <w:snapToGrid w:val="0"/>
                <w:color w:val="000000"/>
                <w:kern w:val="0"/>
                <w:sz w:val="22"/>
                <w:szCs w:val="22"/>
                <w:highlight w:val="none"/>
                <w:u w:val="none"/>
                <w:lang w:val="en-US" w:eastAsia="zh-CN" w:bidi="ar"/>
              </w:rPr>
              <w:t>专项债务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2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eastAsia" w:cs="Times New Roman"/>
                <w:b/>
                <w:bCs/>
                <w:i w:val="0"/>
                <w:color w:val="auto"/>
                <w:kern w:val="0"/>
                <w:sz w:val="20"/>
                <w:szCs w:val="20"/>
                <w:highlight w:val="none"/>
                <w:u w:val="none"/>
                <w:lang w:val="en-US" w:eastAsia="zh-CN" w:bidi="ar"/>
              </w:rPr>
              <w:t>高昌区</w:t>
            </w:r>
          </w:p>
        </w:tc>
        <w:tc>
          <w:tcPr>
            <w:tcW w:w="93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134.43</w:t>
            </w:r>
          </w:p>
        </w:tc>
        <w:tc>
          <w:tcPr>
            <w:tcW w:w="754"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33.31</w:t>
            </w:r>
          </w:p>
        </w:tc>
        <w:tc>
          <w:tcPr>
            <w:tcW w:w="818"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101.12</w:t>
            </w:r>
          </w:p>
        </w:tc>
        <w:tc>
          <w:tcPr>
            <w:tcW w:w="869"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31.37</w:t>
            </w:r>
          </w:p>
        </w:tc>
        <w:tc>
          <w:tcPr>
            <w:tcW w:w="754"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3.80</w:t>
            </w:r>
          </w:p>
        </w:tc>
        <w:tc>
          <w:tcPr>
            <w:tcW w:w="61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27.57</w:t>
            </w:r>
          </w:p>
        </w:tc>
        <w:tc>
          <w:tcPr>
            <w:tcW w:w="73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132.56</w:t>
            </w:r>
          </w:p>
        </w:tc>
        <w:tc>
          <w:tcPr>
            <w:tcW w:w="854"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31.97</w:t>
            </w:r>
          </w:p>
        </w:tc>
        <w:tc>
          <w:tcPr>
            <w:tcW w:w="115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100.59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25"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933"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754"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818"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869"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754"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613"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73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854"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c>
          <w:tcPr>
            <w:tcW w:w="1150" w:type="dxa"/>
            <w:tcBorders>
              <w:top w:val="single" w:color="000000" w:sz="4" w:space="0"/>
              <w:left w:val="single" w:color="000000" w:sz="4" w:space="0"/>
              <w:bottom w:val="single" w:color="000000" w:sz="4" w:space="0"/>
              <w:right w:val="single" w:color="000000" w:sz="4" w:space="0"/>
            </w:tcBorders>
            <w:vAlign w:val="center"/>
          </w:tcPr>
          <w:p>
            <w:pPr>
              <w:rPr>
                <w:rFonts w:hint="default" w:ascii="Times New Roman" w:hAnsi="Times New Roman" w:eastAsia="宋体" w:cs="Times New Roman"/>
                <w:i w:val="0"/>
                <w:color w:val="auto"/>
                <w:sz w:val="20"/>
                <w:szCs w:val="20"/>
                <w:highlight w:val="none"/>
                <w:u w:val="none"/>
              </w:rPr>
            </w:pPr>
          </w:p>
        </w:tc>
      </w:tr>
    </w:tbl>
    <w:p>
      <w:pPr>
        <w:wordWrap/>
        <w:jc w:val="both"/>
        <w:rPr>
          <w:rFonts w:hint="default" w:ascii="Times New Roman" w:hAnsi="Times New Roman" w:cs="Times New Roman"/>
          <w:b w:val="0"/>
          <w:bCs w:val="0"/>
          <w:color w:val="auto"/>
          <w:sz w:val="22"/>
          <w:szCs w:val="22"/>
          <w:highlight w:val="none"/>
          <w:lang w:val="en-US" w:eastAsia="zh-Hans"/>
        </w:rPr>
      </w:pPr>
    </w:p>
    <w:p>
      <w:pPr>
        <w:wordWrap/>
        <w:jc w:val="both"/>
        <w:rPr>
          <w:rFonts w:hint="default" w:ascii="Times New Roman" w:hAnsi="Times New Roman" w:cs="Times New Roman"/>
          <w:b w:val="0"/>
          <w:bCs w:val="0"/>
          <w:color w:val="auto"/>
          <w:sz w:val="22"/>
          <w:szCs w:val="22"/>
          <w:highlight w:val="none"/>
          <w:lang w:val="en-US" w:eastAsia="zh-Hans"/>
        </w:rPr>
      </w:pPr>
    </w:p>
    <w:tbl>
      <w:tblPr>
        <w:tblStyle w:val="8"/>
        <w:tblW w:w="9270" w:type="dxa"/>
        <w:tblInd w:w="-2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512"/>
        <w:gridCol w:w="850"/>
        <w:gridCol w:w="1350"/>
        <w:gridCol w:w="800"/>
        <w:gridCol w:w="900"/>
        <w:gridCol w:w="709"/>
        <w:gridCol w:w="600"/>
        <w:gridCol w:w="909"/>
        <w:gridCol w:w="600"/>
        <w:gridCol w:w="1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9270" w:type="dxa"/>
            <w:gridSpan w:val="10"/>
            <w:vAlign w:val="center"/>
          </w:tcPr>
          <w:p>
            <w:pPr>
              <w:keepNext w:val="0"/>
              <w:keepLines w:val="0"/>
              <w:widowControl/>
              <w:suppressLineNumbers w:val="0"/>
              <w:jc w:val="left"/>
              <w:textAlignment w:val="center"/>
              <w:rPr>
                <w:rFonts w:hint="default" w:ascii="Times New Roman" w:hAnsi="Times New Roman" w:eastAsia="宋体" w:cs="Times New Roman"/>
                <w:b/>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9270" w:type="dxa"/>
            <w:gridSpan w:val="10"/>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上年度高昌区</w:t>
            </w:r>
            <w:r>
              <w:rPr>
                <w:rFonts w:hint="default" w:ascii="宋体" w:hAnsi="宋体" w:eastAsia="宋体" w:cs="宋体"/>
                <w:b/>
                <w:i w:val="0"/>
                <w:snapToGrid w:val="0"/>
                <w:color w:val="000000"/>
                <w:kern w:val="0"/>
                <w:sz w:val="28"/>
                <w:szCs w:val="28"/>
                <w:u w:val="none"/>
                <w:lang w:val="en-US" w:eastAsia="zh-CN" w:bidi="ar"/>
              </w:rPr>
              <w:t>政府债券发行情况表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712" w:type="dxa"/>
            <w:gridSpan w:val="3"/>
            <w:vAlign w:val="center"/>
          </w:tcPr>
          <w:p>
            <w:pPr>
              <w:jc w:val="left"/>
              <w:rPr>
                <w:rFonts w:hint="default" w:ascii="Times New Roman" w:hAnsi="Times New Roman" w:eastAsia="宋体" w:cs="Times New Roman"/>
                <w:i w:val="0"/>
                <w:color w:val="auto"/>
                <w:sz w:val="20"/>
                <w:szCs w:val="20"/>
                <w:highlight w:val="none"/>
                <w:u w:val="none"/>
              </w:rPr>
            </w:pPr>
          </w:p>
        </w:tc>
        <w:tc>
          <w:tcPr>
            <w:tcW w:w="800" w:type="dxa"/>
            <w:vAlign w:val="center"/>
          </w:tcPr>
          <w:p>
            <w:pPr>
              <w:rPr>
                <w:rFonts w:hint="default" w:ascii="Times New Roman" w:hAnsi="Times New Roman" w:eastAsia="宋体" w:cs="Times New Roman"/>
                <w:i w:val="0"/>
                <w:color w:val="auto"/>
                <w:sz w:val="20"/>
                <w:szCs w:val="20"/>
                <w:highlight w:val="none"/>
                <w:u w:val="none"/>
              </w:rPr>
            </w:pPr>
          </w:p>
        </w:tc>
        <w:tc>
          <w:tcPr>
            <w:tcW w:w="900" w:type="dxa"/>
            <w:vAlign w:val="center"/>
          </w:tcPr>
          <w:p>
            <w:pPr>
              <w:rPr>
                <w:rFonts w:hint="default" w:ascii="Times New Roman" w:hAnsi="Times New Roman" w:eastAsia="宋体" w:cs="Times New Roman"/>
                <w:i w:val="0"/>
                <w:color w:val="auto"/>
                <w:sz w:val="20"/>
                <w:szCs w:val="20"/>
                <w:highlight w:val="none"/>
                <w:u w:val="none"/>
              </w:rPr>
            </w:pPr>
          </w:p>
        </w:tc>
        <w:tc>
          <w:tcPr>
            <w:tcW w:w="709" w:type="dxa"/>
            <w:vAlign w:val="center"/>
          </w:tcPr>
          <w:p>
            <w:pPr>
              <w:rPr>
                <w:rFonts w:hint="default" w:ascii="Times New Roman" w:hAnsi="Times New Roman" w:eastAsia="宋体" w:cs="Times New Roman"/>
                <w:i w:val="0"/>
                <w:color w:val="auto"/>
                <w:sz w:val="20"/>
                <w:szCs w:val="20"/>
                <w:highlight w:val="none"/>
                <w:u w:val="none"/>
              </w:rPr>
            </w:pPr>
          </w:p>
        </w:tc>
        <w:tc>
          <w:tcPr>
            <w:tcW w:w="600" w:type="dxa"/>
            <w:vAlign w:val="center"/>
          </w:tcPr>
          <w:p>
            <w:pPr>
              <w:rPr>
                <w:rFonts w:hint="default" w:ascii="Times New Roman" w:hAnsi="Times New Roman" w:eastAsia="宋体" w:cs="Times New Roman"/>
                <w:i w:val="0"/>
                <w:color w:val="auto"/>
                <w:sz w:val="20"/>
                <w:szCs w:val="20"/>
                <w:highlight w:val="none"/>
                <w:u w:val="none"/>
              </w:rPr>
            </w:pPr>
          </w:p>
        </w:tc>
        <w:tc>
          <w:tcPr>
            <w:tcW w:w="2549" w:type="dxa"/>
            <w:gridSpan w:val="3"/>
            <w:vAlign w:val="center"/>
          </w:tcPr>
          <w:p>
            <w:pPr>
              <w:keepNext w:val="0"/>
              <w:keepLines w:val="0"/>
              <w:widowControl/>
              <w:suppressLineNumbers w:val="0"/>
              <w:jc w:val="right"/>
              <w:textAlignment w:val="center"/>
              <w:rPr>
                <w:rFonts w:hint="default" w:ascii="Times New Roman" w:hAnsi="Times New Roman" w:eastAsia="宋体" w:cs="Times New Roman"/>
                <w:i w:val="0"/>
                <w:color w:val="auto"/>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151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行政区划名称</w:t>
            </w:r>
          </w:p>
        </w:tc>
        <w:tc>
          <w:tcPr>
            <w:tcW w:w="300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政府债券发行总额</w:t>
            </w:r>
          </w:p>
        </w:tc>
        <w:tc>
          <w:tcPr>
            <w:tcW w:w="2209"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其中：新增债券额度</w:t>
            </w:r>
          </w:p>
        </w:tc>
        <w:tc>
          <w:tcPr>
            <w:tcW w:w="2549"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其中：再融资债券额度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51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8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135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新增债券</w:t>
            </w:r>
          </w:p>
        </w:tc>
        <w:tc>
          <w:tcPr>
            <w:tcW w:w="8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再融资债券</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小计</w:t>
            </w:r>
          </w:p>
        </w:tc>
        <w:tc>
          <w:tcPr>
            <w:tcW w:w="7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一般债券</w:t>
            </w:r>
          </w:p>
        </w:tc>
        <w:tc>
          <w:tcPr>
            <w:tcW w:w="6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专项债券</w:t>
            </w:r>
          </w:p>
        </w:tc>
        <w:tc>
          <w:tcPr>
            <w:tcW w:w="90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小计</w:t>
            </w:r>
          </w:p>
        </w:tc>
        <w:tc>
          <w:tcPr>
            <w:tcW w:w="6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一般债券</w:t>
            </w:r>
          </w:p>
        </w:tc>
        <w:tc>
          <w:tcPr>
            <w:tcW w:w="10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专项债券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1" w:hRule="atLeast"/>
        </w:trPr>
        <w:tc>
          <w:tcPr>
            <w:tcW w:w="151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eastAsia" w:cs="Times New Roman"/>
                <w:b/>
                <w:bCs/>
                <w:i w:val="0"/>
                <w:color w:val="auto"/>
                <w:kern w:val="0"/>
                <w:sz w:val="20"/>
                <w:szCs w:val="20"/>
                <w:highlight w:val="none"/>
                <w:u w:val="none"/>
                <w:lang w:val="en-US" w:eastAsia="zh-CN" w:bidi="ar"/>
              </w:rPr>
              <w:t>高昌区</w:t>
            </w:r>
          </w:p>
        </w:tc>
        <w:tc>
          <w:tcPr>
            <w:tcW w:w="85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33.32</w:t>
            </w:r>
          </w:p>
        </w:tc>
        <w:tc>
          <w:tcPr>
            <w:tcW w:w="135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31.37</w:t>
            </w:r>
          </w:p>
        </w:tc>
        <w:tc>
          <w:tcPr>
            <w:tcW w:w="80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1.95</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31.37</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3.8</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27.57</w:t>
            </w:r>
          </w:p>
        </w:tc>
        <w:tc>
          <w:tcPr>
            <w:tcW w:w="909"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1.95</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1.95</w:t>
            </w:r>
          </w:p>
        </w:tc>
        <w:tc>
          <w:tcPr>
            <w:tcW w:w="104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51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800"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909"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c>
          <w:tcPr>
            <w:tcW w:w="1040"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0"/>
                <w:szCs w:val="20"/>
                <w:highlight w:val="none"/>
                <w:u w:val="none"/>
              </w:rPr>
            </w:pPr>
          </w:p>
        </w:tc>
      </w:tr>
    </w:tbl>
    <w:p>
      <w:pPr>
        <w:keepNext w:val="0"/>
        <w:keepLines w:val="0"/>
        <w:widowControl/>
        <w:suppressLineNumbers w:val="0"/>
        <w:jc w:val="left"/>
        <w:textAlignment w:val="center"/>
        <w:rPr>
          <w:rFonts w:hint="default" w:ascii="Times New Roman" w:hAnsi="Times New Roman" w:eastAsia="宋体" w:cs="Times New Roman"/>
          <w:i w:val="0"/>
          <w:color w:val="auto"/>
          <w:kern w:val="0"/>
          <w:sz w:val="20"/>
          <w:szCs w:val="20"/>
          <w:highlight w:val="none"/>
          <w:u w:val="none"/>
          <w:lang w:val="en-US" w:eastAsia="zh-Hans" w:bidi="ar"/>
        </w:rPr>
      </w:pPr>
    </w:p>
    <w:p>
      <w:pPr>
        <w:pStyle w:val="2"/>
        <w:rPr>
          <w:rFonts w:hint="default" w:ascii="Times New Roman" w:hAnsi="Times New Roman" w:eastAsia="宋体" w:cs="Times New Roman"/>
          <w:i w:val="0"/>
          <w:color w:val="auto"/>
          <w:kern w:val="0"/>
          <w:sz w:val="20"/>
          <w:szCs w:val="20"/>
          <w:highlight w:val="none"/>
          <w:u w:val="none"/>
          <w:lang w:val="en-US" w:eastAsia="zh-Hans" w:bidi="ar"/>
        </w:rPr>
      </w:pPr>
    </w:p>
    <w:p>
      <w:pPr>
        <w:pStyle w:val="2"/>
        <w:rPr>
          <w:rFonts w:hint="default" w:ascii="Times New Roman" w:hAnsi="Times New Roman" w:eastAsia="宋体" w:cs="Times New Roman"/>
          <w:i w:val="0"/>
          <w:color w:val="auto"/>
          <w:kern w:val="0"/>
          <w:sz w:val="20"/>
          <w:szCs w:val="20"/>
          <w:highlight w:val="none"/>
          <w:u w:val="none"/>
          <w:lang w:val="en-US" w:eastAsia="zh-Hans" w:bidi="ar"/>
        </w:rPr>
      </w:pPr>
    </w:p>
    <w:p>
      <w:pPr>
        <w:pStyle w:val="2"/>
        <w:rPr>
          <w:rFonts w:hint="default" w:ascii="Times New Roman" w:hAnsi="Times New Roman" w:eastAsia="宋体" w:cs="Times New Roman"/>
          <w:i w:val="0"/>
          <w:color w:val="auto"/>
          <w:kern w:val="0"/>
          <w:sz w:val="20"/>
          <w:szCs w:val="20"/>
          <w:highlight w:val="none"/>
          <w:u w:val="none"/>
          <w:lang w:val="en-US" w:eastAsia="zh-Hans" w:bidi="ar"/>
        </w:rPr>
      </w:pPr>
    </w:p>
    <w:tbl>
      <w:tblPr>
        <w:tblStyle w:val="8"/>
        <w:tblpPr w:leftFromText="180" w:rightFromText="180" w:vertAnchor="text" w:horzAnchor="page" w:tblpX="372" w:tblpY="-6273"/>
        <w:tblOverlap w:val="never"/>
        <w:tblW w:w="11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41"/>
        <w:gridCol w:w="1338"/>
        <w:gridCol w:w="786"/>
        <w:gridCol w:w="1"/>
        <w:gridCol w:w="801"/>
        <w:gridCol w:w="1"/>
        <w:gridCol w:w="742"/>
        <w:gridCol w:w="785"/>
        <w:gridCol w:w="3"/>
        <w:gridCol w:w="829"/>
        <w:gridCol w:w="2"/>
        <w:gridCol w:w="815"/>
        <w:gridCol w:w="713"/>
        <w:gridCol w:w="1"/>
        <w:gridCol w:w="696"/>
        <w:gridCol w:w="832"/>
        <w:gridCol w:w="831"/>
        <w:gridCol w:w="1"/>
        <w:gridCol w:w="831"/>
        <w:gridCol w:w="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7" w:hRule="atLeast"/>
        </w:trPr>
        <w:tc>
          <w:tcPr>
            <w:tcW w:w="11060" w:type="dxa"/>
            <w:gridSpan w:val="20"/>
            <w:vAlign w:val="center"/>
          </w:tcPr>
          <w:p>
            <w:pPr>
              <w:keepNext w:val="0"/>
              <w:keepLines w:val="0"/>
              <w:widowControl/>
              <w:suppressLineNumbers w:val="0"/>
              <w:jc w:val="left"/>
              <w:textAlignment w:val="center"/>
              <w:rPr>
                <w:rFonts w:hint="default" w:ascii="Times New Roman" w:hAnsi="Times New Roman" w:eastAsia="宋体" w:cs="Times New Roman"/>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4" w:hRule="atLeast"/>
        </w:trPr>
        <w:tc>
          <w:tcPr>
            <w:tcW w:w="11060" w:type="dxa"/>
            <w:gridSpan w:val="20"/>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上年度高昌区</w:t>
            </w:r>
            <w:r>
              <w:rPr>
                <w:rFonts w:hint="default" w:ascii="宋体" w:hAnsi="宋体" w:eastAsia="宋体" w:cs="宋体"/>
                <w:b/>
                <w:i w:val="0"/>
                <w:snapToGrid w:val="0"/>
                <w:color w:val="000000"/>
                <w:kern w:val="0"/>
                <w:sz w:val="28"/>
                <w:szCs w:val="28"/>
                <w:u w:val="none"/>
                <w:lang w:val="en-US" w:eastAsia="zh-CN" w:bidi="ar"/>
              </w:rPr>
              <w:t>政府债券发行情况明细表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7" w:hRule="atLeast"/>
        </w:trPr>
        <w:tc>
          <w:tcPr>
            <w:tcW w:w="441" w:type="dxa"/>
            <w:vAlign w:val="center"/>
          </w:tcPr>
          <w:p>
            <w:pPr>
              <w:jc w:val="center"/>
              <w:rPr>
                <w:rFonts w:hint="default" w:ascii="Times New Roman" w:hAnsi="Times New Roman" w:eastAsia="宋体" w:cs="Times New Roman"/>
                <w:i w:val="0"/>
                <w:color w:val="auto"/>
                <w:sz w:val="20"/>
                <w:szCs w:val="20"/>
                <w:highlight w:val="none"/>
                <w:u w:val="none"/>
              </w:rPr>
            </w:pPr>
          </w:p>
        </w:tc>
        <w:tc>
          <w:tcPr>
            <w:tcW w:w="1338" w:type="dxa"/>
            <w:vAlign w:val="center"/>
          </w:tcPr>
          <w:p>
            <w:pPr>
              <w:jc w:val="center"/>
              <w:rPr>
                <w:rFonts w:hint="default" w:ascii="Times New Roman" w:hAnsi="Times New Roman" w:eastAsia="宋体" w:cs="Times New Roman"/>
                <w:i w:val="0"/>
                <w:color w:val="auto"/>
                <w:sz w:val="20"/>
                <w:szCs w:val="20"/>
                <w:highlight w:val="none"/>
                <w:u w:val="none"/>
              </w:rPr>
            </w:pPr>
          </w:p>
        </w:tc>
        <w:tc>
          <w:tcPr>
            <w:tcW w:w="786" w:type="dxa"/>
            <w:vAlign w:val="center"/>
          </w:tcPr>
          <w:p>
            <w:pPr>
              <w:jc w:val="center"/>
              <w:rPr>
                <w:rFonts w:hint="default" w:ascii="Times New Roman" w:hAnsi="Times New Roman" w:eastAsia="宋体" w:cs="Times New Roman"/>
                <w:i w:val="0"/>
                <w:color w:val="auto"/>
                <w:sz w:val="20"/>
                <w:szCs w:val="20"/>
                <w:highlight w:val="none"/>
                <w:u w:val="none"/>
              </w:rPr>
            </w:pPr>
          </w:p>
        </w:tc>
        <w:tc>
          <w:tcPr>
            <w:tcW w:w="803" w:type="dxa"/>
            <w:gridSpan w:val="3"/>
            <w:vAlign w:val="center"/>
          </w:tcPr>
          <w:p>
            <w:pPr>
              <w:jc w:val="center"/>
              <w:rPr>
                <w:rFonts w:hint="default" w:ascii="Times New Roman" w:hAnsi="Times New Roman" w:eastAsia="宋体" w:cs="Times New Roman"/>
                <w:i w:val="0"/>
                <w:color w:val="auto"/>
                <w:sz w:val="20"/>
                <w:szCs w:val="20"/>
                <w:highlight w:val="none"/>
                <w:u w:val="none"/>
              </w:rPr>
            </w:pPr>
          </w:p>
        </w:tc>
        <w:tc>
          <w:tcPr>
            <w:tcW w:w="742" w:type="dxa"/>
            <w:vAlign w:val="center"/>
          </w:tcPr>
          <w:p>
            <w:pPr>
              <w:jc w:val="center"/>
              <w:rPr>
                <w:rFonts w:hint="default" w:ascii="Times New Roman" w:hAnsi="Times New Roman" w:eastAsia="宋体" w:cs="Times New Roman"/>
                <w:i w:val="0"/>
                <w:color w:val="auto"/>
                <w:sz w:val="20"/>
                <w:szCs w:val="20"/>
                <w:highlight w:val="none"/>
                <w:u w:val="none"/>
              </w:rPr>
            </w:pPr>
          </w:p>
        </w:tc>
        <w:tc>
          <w:tcPr>
            <w:tcW w:w="785" w:type="dxa"/>
            <w:vAlign w:val="center"/>
          </w:tcPr>
          <w:p>
            <w:pPr>
              <w:jc w:val="center"/>
              <w:rPr>
                <w:rFonts w:hint="default" w:ascii="Times New Roman" w:hAnsi="Times New Roman" w:eastAsia="宋体" w:cs="Times New Roman"/>
                <w:i w:val="0"/>
                <w:color w:val="auto"/>
                <w:sz w:val="20"/>
                <w:szCs w:val="20"/>
                <w:highlight w:val="none"/>
                <w:u w:val="none"/>
              </w:rPr>
            </w:pPr>
          </w:p>
        </w:tc>
        <w:tc>
          <w:tcPr>
            <w:tcW w:w="832" w:type="dxa"/>
            <w:gridSpan w:val="2"/>
            <w:vAlign w:val="center"/>
          </w:tcPr>
          <w:p>
            <w:pPr>
              <w:jc w:val="center"/>
              <w:rPr>
                <w:rFonts w:hint="default" w:ascii="Times New Roman" w:hAnsi="Times New Roman" w:eastAsia="宋体" w:cs="Times New Roman"/>
                <w:i w:val="0"/>
                <w:color w:val="auto"/>
                <w:sz w:val="20"/>
                <w:szCs w:val="20"/>
                <w:highlight w:val="none"/>
                <w:u w:val="none"/>
              </w:rPr>
            </w:pPr>
          </w:p>
        </w:tc>
        <w:tc>
          <w:tcPr>
            <w:tcW w:w="817" w:type="dxa"/>
            <w:gridSpan w:val="2"/>
            <w:vAlign w:val="center"/>
          </w:tcPr>
          <w:p>
            <w:pPr>
              <w:jc w:val="center"/>
              <w:rPr>
                <w:rFonts w:hint="default" w:ascii="Times New Roman" w:hAnsi="Times New Roman" w:eastAsia="宋体" w:cs="Times New Roman"/>
                <w:i w:val="0"/>
                <w:color w:val="auto"/>
                <w:sz w:val="20"/>
                <w:szCs w:val="20"/>
                <w:highlight w:val="none"/>
                <w:u w:val="none"/>
              </w:rPr>
            </w:pPr>
          </w:p>
        </w:tc>
        <w:tc>
          <w:tcPr>
            <w:tcW w:w="713" w:type="dxa"/>
            <w:vAlign w:val="center"/>
          </w:tcPr>
          <w:p>
            <w:pPr>
              <w:jc w:val="center"/>
              <w:rPr>
                <w:rFonts w:hint="default" w:ascii="Times New Roman" w:hAnsi="Times New Roman" w:eastAsia="宋体" w:cs="Times New Roman"/>
                <w:i w:val="0"/>
                <w:color w:val="auto"/>
                <w:sz w:val="20"/>
                <w:szCs w:val="20"/>
                <w:highlight w:val="none"/>
                <w:u w:val="none"/>
              </w:rPr>
            </w:pPr>
          </w:p>
        </w:tc>
        <w:tc>
          <w:tcPr>
            <w:tcW w:w="1529" w:type="dxa"/>
            <w:gridSpan w:val="3"/>
            <w:vAlign w:val="center"/>
          </w:tcPr>
          <w:p>
            <w:pPr>
              <w:jc w:val="right"/>
              <w:rPr>
                <w:rFonts w:hint="default" w:ascii="Times New Roman" w:hAnsi="Times New Roman" w:eastAsia="宋体" w:cs="Times New Roman"/>
                <w:i w:val="0"/>
                <w:color w:val="auto"/>
                <w:sz w:val="20"/>
                <w:szCs w:val="20"/>
                <w:highlight w:val="none"/>
                <w:u w:val="none"/>
              </w:rPr>
            </w:pPr>
          </w:p>
        </w:tc>
        <w:tc>
          <w:tcPr>
            <w:tcW w:w="832" w:type="dxa"/>
            <w:gridSpan w:val="2"/>
            <w:vAlign w:val="center"/>
          </w:tcPr>
          <w:p>
            <w:pPr>
              <w:rPr>
                <w:rFonts w:hint="default" w:ascii="Times New Roman" w:hAnsi="Times New Roman" w:eastAsia="宋体" w:cs="Times New Roman"/>
                <w:i w:val="0"/>
                <w:color w:val="auto"/>
                <w:sz w:val="20"/>
                <w:szCs w:val="20"/>
                <w:highlight w:val="none"/>
                <w:u w:val="none"/>
              </w:rPr>
            </w:pPr>
          </w:p>
        </w:tc>
        <w:tc>
          <w:tcPr>
            <w:tcW w:w="1442" w:type="dxa"/>
            <w:gridSpan w:val="2"/>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9" w:hRule="atLeast"/>
        </w:trPr>
        <w:tc>
          <w:tcPr>
            <w:tcW w:w="1779" w:type="dxa"/>
            <w:gridSpan w:val="2"/>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债券类型</w:t>
            </w:r>
          </w:p>
        </w:tc>
        <w:tc>
          <w:tcPr>
            <w:tcW w:w="2331"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地方政府债券</w:t>
            </w:r>
          </w:p>
        </w:tc>
        <w:tc>
          <w:tcPr>
            <w:tcW w:w="2434" w:type="dxa"/>
            <w:gridSpan w:val="5"/>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新增债券</w:t>
            </w:r>
          </w:p>
        </w:tc>
        <w:tc>
          <w:tcPr>
            <w:tcW w:w="2242"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置换债券</w:t>
            </w:r>
          </w:p>
        </w:tc>
        <w:tc>
          <w:tcPr>
            <w:tcW w:w="2274"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再融资债券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9" w:hRule="atLeast"/>
        </w:trPr>
        <w:tc>
          <w:tcPr>
            <w:tcW w:w="1779" w:type="dxa"/>
            <w:gridSpan w:val="2"/>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8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一般</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w:t>
            </w: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一般</w:t>
            </w:r>
          </w:p>
        </w:tc>
        <w:tc>
          <w:tcPr>
            <w:tcW w:w="8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6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一般</w:t>
            </w:r>
          </w:p>
        </w:tc>
        <w:tc>
          <w:tcPr>
            <w:tcW w:w="83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w:t>
            </w:r>
          </w:p>
        </w:tc>
        <w:tc>
          <w:tcPr>
            <w:tcW w:w="83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一般</w:t>
            </w:r>
          </w:p>
        </w:tc>
        <w:tc>
          <w:tcPr>
            <w:tcW w:w="6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5"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小计</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33.32</w:t>
            </w:r>
          </w:p>
        </w:tc>
        <w:tc>
          <w:tcPr>
            <w:tcW w:w="8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5.75</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27.57</w:t>
            </w: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31.37</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3.8</w:t>
            </w:r>
          </w:p>
        </w:tc>
        <w:tc>
          <w:tcPr>
            <w:tcW w:w="8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27.57</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0</w:t>
            </w:r>
          </w:p>
        </w:tc>
        <w:tc>
          <w:tcPr>
            <w:tcW w:w="83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0</w:t>
            </w:r>
          </w:p>
        </w:tc>
        <w:tc>
          <w:tcPr>
            <w:tcW w:w="83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1.95</w:t>
            </w: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1.95</w:t>
            </w:r>
          </w:p>
        </w:tc>
        <w:tc>
          <w:tcPr>
            <w:tcW w:w="6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1.97</w:t>
            </w:r>
          </w:p>
        </w:tc>
        <w:tc>
          <w:tcPr>
            <w:tcW w:w="80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1.84</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w:t>
            </w: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1.98</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1.8</w:t>
            </w:r>
          </w:p>
        </w:tc>
        <w:tc>
          <w:tcPr>
            <w:tcW w:w="8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2</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0</w:t>
            </w:r>
          </w:p>
        </w:tc>
        <w:tc>
          <w:tcPr>
            <w:tcW w:w="69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0</w:t>
            </w:r>
          </w:p>
        </w:tc>
        <w:tc>
          <w:tcPr>
            <w:tcW w:w="83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0</w:t>
            </w:r>
          </w:p>
        </w:tc>
        <w:tc>
          <w:tcPr>
            <w:tcW w:w="83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1.92</w:t>
            </w: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1.92</w:t>
            </w:r>
          </w:p>
        </w:tc>
        <w:tc>
          <w:tcPr>
            <w:tcW w:w="61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lang w:val="en-US" w:eastAsia="zh-CN"/>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696" w:type="dxa"/>
            <w:tcBorders>
              <w:top w:val="single" w:color="000000" w:sz="4" w:space="0"/>
              <w:left w:val="single" w:color="000000" w:sz="4" w:space="0"/>
              <w:bottom w:val="single" w:color="000000" w:sz="4" w:space="0"/>
              <w:right w:val="single" w:color="000000" w:sz="4" w:space="0"/>
            </w:tcBorders>
            <w:vAlign w:val="center"/>
          </w:tcPr>
          <w:p>
            <w:pPr>
              <w:ind w:firstLine="276" w:firstLineChars="0"/>
              <w:jc w:val="right"/>
              <w:rPr>
                <w:rFonts w:hint="eastAsia" w:ascii="Times New Roman" w:hAnsi="Times New Roman" w:eastAsia="宋体" w:cs="Times New Roman"/>
                <w:i w:val="0"/>
                <w:color w:val="auto"/>
                <w:sz w:val="21"/>
                <w:szCs w:val="21"/>
                <w:highlight w:val="none"/>
                <w:u w:val="none"/>
                <w:lang w:val="en-US" w:eastAsia="zh-CN"/>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5年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w:t>
            </w:r>
          </w:p>
        </w:tc>
        <w:tc>
          <w:tcPr>
            <w:tcW w:w="8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1.63</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1.63</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1.63</w:t>
            </w:r>
          </w:p>
        </w:tc>
        <w:tc>
          <w:tcPr>
            <w:tcW w:w="8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1.63</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7年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0.77</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0.77</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0.77</w:t>
            </w:r>
          </w:p>
        </w:tc>
        <w:tc>
          <w:tcPr>
            <w:tcW w:w="8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0.77</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1.66</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1.66</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1.66</w:t>
            </w:r>
          </w:p>
        </w:tc>
        <w:tc>
          <w:tcPr>
            <w:tcW w:w="8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1.66</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7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8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10年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20.28</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4.48</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rPr>
              <w:t>15.8</w:t>
            </w:r>
            <w:r>
              <w:rPr>
                <w:rFonts w:hint="eastAsia" w:cs="Times New Roman"/>
                <w:i w:val="0"/>
                <w:color w:val="auto"/>
                <w:sz w:val="21"/>
                <w:szCs w:val="21"/>
                <w:highlight w:val="none"/>
                <w:u w:val="none"/>
                <w:lang w:val="en-US" w:eastAsia="zh-CN"/>
              </w:rPr>
              <w:t>0</w:t>
            </w: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18.33</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2.53</w:t>
            </w: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15.8</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1.95</w:t>
            </w:r>
          </w:p>
        </w:tc>
        <w:tc>
          <w:tcPr>
            <w:tcW w:w="8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1.95</w:t>
            </w: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1.96</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1.85</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1.99</w:t>
            </w: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1.97</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eastAsia" w:ascii="Times New Roman" w:hAnsi="Times New Roman" w:eastAsia="宋体" w:cs="Times New Roman"/>
                <w:i w:val="0"/>
                <w:color w:val="auto"/>
                <w:sz w:val="21"/>
                <w:szCs w:val="21"/>
                <w:highlight w:val="none"/>
                <w:u w:val="none"/>
                <w:lang w:val="en-US" w:eastAsia="zh-CN"/>
              </w:rPr>
            </w:pPr>
            <w:r>
              <w:rPr>
                <w:rFonts w:hint="default" w:ascii="Times New Roman" w:hAnsi="Times New Roman" w:eastAsia="宋体" w:cs="Times New Roman"/>
                <w:i w:val="0"/>
                <w:color w:val="auto"/>
                <w:sz w:val="21"/>
                <w:szCs w:val="21"/>
                <w:highlight w:val="none"/>
                <w:u w:val="none"/>
              </w:rPr>
              <w:t>1.8</w:t>
            </w:r>
            <w:r>
              <w:rPr>
                <w:rFonts w:hint="eastAsia" w:cs="Times New Roman"/>
                <w:i w:val="0"/>
                <w:color w:val="auto"/>
                <w:sz w:val="21"/>
                <w:szCs w:val="21"/>
                <w:highlight w:val="none"/>
                <w:u w:val="none"/>
                <w:lang w:val="en-US" w:eastAsia="zh-CN"/>
              </w:rPr>
              <w:t>0</w:t>
            </w: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1.99</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1.92</w:t>
            </w:r>
          </w:p>
        </w:tc>
        <w:tc>
          <w:tcPr>
            <w:tcW w:w="8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1.92</w:t>
            </w: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15年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3.5</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0.5</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3</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3.5</w:t>
            </w:r>
          </w:p>
        </w:tc>
        <w:tc>
          <w:tcPr>
            <w:tcW w:w="8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0.5</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2.13</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2.02</w:t>
            </w: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2.14</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2.13</w:t>
            </w:r>
          </w:p>
        </w:tc>
        <w:tc>
          <w:tcPr>
            <w:tcW w:w="8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2.02</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2.14</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20年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3.23</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3.23</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3.23</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3.23</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2.09</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2.09</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2.09</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2.09</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25年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88"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64" w:hRule="atLeast"/>
        </w:trPr>
        <w:tc>
          <w:tcPr>
            <w:tcW w:w="4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30年</w:t>
            </w: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金额</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3.54</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3.54</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3.54</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3.54</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44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平均利率%</w:t>
            </w:r>
          </w:p>
        </w:tc>
        <w:tc>
          <w:tcPr>
            <w:tcW w:w="787"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sz w:val="21"/>
                <w:szCs w:val="21"/>
                <w:highlight w:val="none"/>
                <w:u w:val="none"/>
              </w:rPr>
              <w:t>2.03</w:t>
            </w:r>
          </w:p>
        </w:tc>
        <w:tc>
          <w:tcPr>
            <w:tcW w:w="80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7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2.03</w:t>
            </w:r>
          </w:p>
        </w:tc>
        <w:tc>
          <w:tcPr>
            <w:tcW w:w="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2.03</w:t>
            </w:r>
          </w:p>
        </w:tc>
        <w:tc>
          <w:tcPr>
            <w:tcW w:w="831"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rPr>
              <w:t>2.03</w:t>
            </w:r>
          </w:p>
        </w:tc>
        <w:tc>
          <w:tcPr>
            <w:tcW w:w="714"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96"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8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c>
          <w:tcPr>
            <w:tcW w:w="611"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color w:val="auto"/>
                <w:sz w:val="21"/>
                <w:szCs w:val="21"/>
                <w:highlight w:val="none"/>
                <w:u w:val="none"/>
              </w:rPr>
            </w:pPr>
          </w:p>
        </w:tc>
      </w:tr>
    </w:tbl>
    <w:p>
      <w:pPr>
        <w:spacing w:before="0" w:line="240" w:lineRule="exact"/>
        <w:ind w:left="0" w:right="499" w:firstLine="0"/>
        <w:jc w:val="both"/>
        <w:rPr>
          <w:rFonts w:hint="default" w:ascii="Times New Roman" w:hAnsi="Times New Roman" w:cs="Times New Roman"/>
          <w:color w:val="auto"/>
          <w:highlight w:val="none"/>
          <w:lang w:val="en-US" w:eastAsia="zh-Hans"/>
        </w:rPr>
      </w:pPr>
    </w:p>
    <w:p>
      <w:pPr>
        <w:pStyle w:val="2"/>
        <w:rPr>
          <w:rFonts w:hint="default" w:ascii="Times New Roman" w:hAnsi="Times New Roman" w:cs="Times New Roman"/>
          <w:color w:val="auto"/>
          <w:highlight w:val="none"/>
          <w:lang w:val="en-US" w:eastAsia="zh-Hans"/>
        </w:rPr>
      </w:pPr>
    </w:p>
    <w:p>
      <w:pPr>
        <w:rPr>
          <w:rFonts w:hint="default" w:ascii="Times New Roman" w:hAnsi="Times New Roman" w:cs="Times New Roman"/>
          <w:color w:val="auto"/>
          <w:highlight w:val="none"/>
          <w:lang w:val="en-US" w:eastAsia="zh-Hans"/>
        </w:rPr>
      </w:pPr>
      <w:r>
        <w:rPr>
          <w:rFonts w:hint="default" w:ascii="Times New Roman" w:hAnsi="Times New Roman" w:cs="Times New Roman"/>
          <w:color w:val="auto"/>
          <w:highlight w:val="none"/>
          <w:lang w:val="en-US" w:eastAsia="zh-Hans"/>
        </w:rPr>
        <w:br w:type="page"/>
      </w:r>
    </w:p>
    <w:tbl>
      <w:tblPr>
        <w:tblStyle w:val="8"/>
        <w:tblpPr w:leftFromText="180" w:rightFromText="180" w:vertAnchor="text" w:horzAnchor="page" w:tblpX="577" w:tblpY="240"/>
        <w:tblOverlap w:val="never"/>
        <w:tblW w:w="110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52"/>
        <w:gridCol w:w="737"/>
        <w:gridCol w:w="1455"/>
        <w:gridCol w:w="3002"/>
        <w:gridCol w:w="2480"/>
        <w:gridCol w:w="930"/>
        <w:gridCol w:w="960"/>
        <w:gridCol w:w="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40" w:hRule="atLeast"/>
        </w:trPr>
        <w:tc>
          <w:tcPr>
            <w:tcW w:w="11010" w:type="dxa"/>
            <w:gridSpan w:val="8"/>
            <w:vAlign w:val="center"/>
          </w:tcPr>
          <w:p>
            <w:pPr>
              <w:keepNext w:val="0"/>
              <w:keepLines w:val="0"/>
              <w:widowControl/>
              <w:suppressLineNumbers w:val="0"/>
              <w:spacing w:line="240" w:lineRule="exact"/>
              <w:jc w:val="left"/>
              <w:textAlignment w:val="center"/>
              <w:rPr>
                <w:rFonts w:hint="default" w:ascii="Times New Roman" w:hAnsi="Times New Roman" w:eastAsia="宋体" w:cs="Times New Roman"/>
                <w:b/>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表3</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11010" w:type="dxa"/>
            <w:gridSpan w:val="8"/>
            <w:vAlign w:val="center"/>
          </w:tcPr>
          <w:p>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auto"/>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上年度高昌区</w:t>
            </w:r>
            <w:r>
              <w:rPr>
                <w:rFonts w:hint="default" w:ascii="宋体" w:hAnsi="宋体" w:eastAsia="宋体" w:cs="宋体"/>
                <w:b/>
                <w:i w:val="0"/>
                <w:snapToGrid w:val="0"/>
                <w:color w:val="000000"/>
                <w:kern w:val="0"/>
                <w:sz w:val="28"/>
                <w:szCs w:val="28"/>
                <w:u w:val="none"/>
                <w:lang w:val="en-US" w:eastAsia="zh-CN" w:bidi="ar"/>
              </w:rPr>
              <w:t>新增债券使用情况表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452" w:type="dxa"/>
            <w:vAlign w:val="center"/>
          </w:tcPr>
          <w:p>
            <w:pPr>
              <w:spacing w:line="240" w:lineRule="exact"/>
              <w:rPr>
                <w:rFonts w:hint="default" w:ascii="Times New Roman" w:hAnsi="Times New Roman" w:eastAsia="宋体" w:cs="Times New Roman"/>
                <w:i w:val="0"/>
                <w:color w:val="auto"/>
                <w:sz w:val="20"/>
                <w:szCs w:val="20"/>
                <w:highlight w:val="none"/>
                <w:u w:val="none"/>
              </w:rPr>
            </w:pPr>
          </w:p>
        </w:tc>
        <w:tc>
          <w:tcPr>
            <w:tcW w:w="737" w:type="dxa"/>
            <w:vAlign w:val="center"/>
          </w:tcPr>
          <w:p>
            <w:pPr>
              <w:spacing w:line="240" w:lineRule="exact"/>
              <w:rPr>
                <w:rFonts w:hint="default" w:ascii="Times New Roman" w:hAnsi="Times New Roman" w:eastAsia="宋体" w:cs="Times New Roman"/>
                <w:i w:val="0"/>
                <w:color w:val="auto"/>
                <w:sz w:val="20"/>
                <w:szCs w:val="20"/>
                <w:highlight w:val="none"/>
                <w:u w:val="none"/>
              </w:rPr>
            </w:pPr>
          </w:p>
        </w:tc>
        <w:tc>
          <w:tcPr>
            <w:tcW w:w="1455" w:type="dxa"/>
            <w:vAlign w:val="center"/>
          </w:tcPr>
          <w:p>
            <w:pPr>
              <w:spacing w:line="240" w:lineRule="exact"/>
              <w:rPr>
                <w:rFonts w:hint="default" w:ascii="Times New Roman" w:hAnsi="Times New Roman" w:eastAsia="宋体" w:cs="Times New Roman"/>
                <w:i w:val="0"/>
                <w:color w:val="auto"/>
                <w:sz w:val="20"/>
                <w:szCs w:val="20"/>
                <w:highlight w:val="none"/>
                <w:u w:val="none"/>
              </w:rPr>
            </w:pPr>
          </w:p>
        </w:tc>
        <w:tc>
          <w:tcPr>
            <w:tcW w:w="5482" w:type="dxa"/>
            <w:gridSpan w:val="2"/>
            <w:vAlign w:val="center"/>
          </w:tcPr>
          <w:p>
            <w:pPr>
              <w:spacing w:line="240" w:lineRule="exact"/>
              <w:jc w:val="left"/>
              <w:rPr>
                <w:rFonts w:hint="default" w:ascii="Times New Roman" w:hAnsi="Times New Roman" w:eastAsia="宋体" w:cs="Times New Roman"/>
                <w:i w:val="0"/>
                <w:color w:val="auto"/>
                <w:sz w:val="20"/>
                <w:szCs w:val="20"/>
                <w:highlight w:val="none"/>
                <w:u w:val="none"/>
              </w:rPr>
            </w:pPr>
          </w:p>
        </w:tc>
        <w:tc>
          <w:tcPr>
            <w:tcW w:w="2884" w:type="dxa"/>
            <w:gridSpan w:val="3"/>
            <w:vAlign w:val="center"/>
          </w:tcPr>
          <w:p>
            <w:pPr>
              <w:keepNext w:val="0"/>
              <w:keepLines w:val="0"/>
              <w:widowControl/>
              <w:suppressLineNumbers w:val="0"/>
              <w:spacing w:line="240" w:lineRule="exact"/>
              <w:jc w:val="right"/>
              <w:textAlignment w:val="center"/>
              <w:rPr>
                <w:rFonts w:hint="default" w:ascii="Times New Roman" w:hAnsi="Times New Roman" w:eastAsia="宋体" w:cs="Times New Roman"/>
                <w:i w:val="0"/>
                <w:color w:val="auto"/>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5" w:hRule="atLeast"/>
        </w:trPr>
        <w:tc>
          <w:tcPr>
            <w:tcW w:w="45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序号</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区划</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项目单位</w:t>
            </w:r>
          </w:p>
        </w:tc>
        <w:tc>
          <w:tcPr>
            <w:tcW w:w="300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项目名称</w:t>
            </w:r>
          </w:p>
        </w:tc>
        <w:tc>
          <w:tcPr>
            <w:tcW w:w="2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项目领域</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债券性质</w:t>
            </w:r>
          </w:p>
        </w:tc>
        <w:tc>
          <w:tcPr>
            <w:tcW w:w="9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债券金额</w:t>
            </w:r>
          </w:p>
        </w:tc>
        <w:tc>
          <w:tcPr>
            <w:tcW w:w="99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exact"/>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实际支出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吐鲁番市高昌区交通运输局</w:t>
            </w:r>
          </w:p>
        </w:tc>
        <w:tc>
          <w:tcPr>
            <w:tcW w:w="300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吐鲁番市高昌区2025年农村公路提质改造工程</w:t>
            </w:r>
          </w:p>
        </w:tc>
        <w:tc>
          <w:tcPr>
            <w:tcW w:w="2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0.3</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吐鲁番市高昌区水利局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新疆吐鲁番市高昌区塔尔朗水库工程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0402 水利</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吐鲁番市高昌区应急管理局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吐鲁番艾丁湖煤田火区、吐鲁番艾丁 湖区域初生煤田火区灭火工程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4</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吐鲁番市高昌区园林绿化中心</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吐鲁番市高昌区青年路步行街基础设施改造提升工程项目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0909 城市公共空间功能提升及其他城市更新基础设施建设</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5</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吐鲁番经济开发区管理委员会</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吐鲁番经济开发区南部矿区基础设施建设项目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0802 产业园区基础设施（主要支持国家级、省级产业园区基础设施）</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0.2</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6</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吐鲁番市自然资源局高昌区分局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新疆东天山南麓（吐鲁番市）历史遗留废弃矿山生态修复示范工程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0.23</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7</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吐鲁番市高昌区水利局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吐鲁番市高昌区葡萄高效节水工程项目（三期）</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0402 水利</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8</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吐鲁番市高昌区水利局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吐鲁番市高昌区葡萄高效节水配套工程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0402 水利</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0.7</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9</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吐鲁番市高昌区财政局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吐鲁番市高昌区政府投资项目（一）</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其他</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2.63</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2.63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吐鲁番市自然资源局高昌区分局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吐鲁番市2025年高昌区土地储备专项债券（一期）项目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1301 收购存量闲置土地</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1.54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11</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吐鲁番市高昌区财政局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吐鲁番市高昌区政府投资项目（二）</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其他</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2.76</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2.76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12</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吐鲁番市高昌区财政局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吐鲁番市高昌区政府投资项目（三）</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其他</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0.78</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13</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吐鲁番市高昌区退役军人事务局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吐鲁番市高昌区国防动员指挥中心及民兵训练基地建设项目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14</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吐鲁番市自然资源局高昌区分局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新疆东天山南麓（吐鲁番市）历史遗留废弃矿山生态修复示范工程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0.27</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15</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吐鲁番市高昌区主城区供水管网更新升级改造项目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080101 供排水</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1.6</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16</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吐鲁番市高昌区供水计量设施改造提升项目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080101 供排水</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0.3</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17</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976001-吐鲁番经济开发区管理委员会</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吐鲁番经开区产业园区基础设施综合提升建设项目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0802 产业园区基础设施（主要支持国家级、省级产业园区基础设施）</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0.5</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18</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吐鲁番市高昌区文化产业园片区集中供热工程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080102 供热（含供热计量改造、长距离供热管道）</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1.4</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19</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吐鲁番市高昌区教育局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吐鲁番市高昌区中小学能力提升及附属工程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吐鲁番市高昌区火车站片区集中供热基础设施暖民建设工程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080102 供热（含供热计量改造、长距离供热管道）</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0.2</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21</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吐鲁番市高昌区新能源集中供热设施更新及改造提升建设项目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080102 供热（含供热计量改造、长距离供热管道）</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0.2</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22</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吐鲁番经济开发区管理委员会</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吐鲁番经开区产业园区基础设施综合提升建设项目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0802 产业园区基础设施（主要支持国家级、省级产业园区基础设施）</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9.1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23</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吐鲁番市高昌区水利局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吐鲁番市高昌区塔尔朗河中小河流治理项目（2025年度）</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0402 水利</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24</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吐鲁番市高昌区水利局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吐鲁番市高昌区葡萄高效节水工程项目（三期）</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0402 水利</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0.3</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25</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吐鲁番市高昌区新城老旧街区改造提升建设项目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0907 老旧街区改造</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0.3</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26</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吐鲁番市高昌区退役军人事务局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吐鲁番市高昌区国防动员指挥中心及民兵训练基地建设项目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27</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吐鲁番市高昌区教育局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高昌区胜金乡胜利学校等8所学校消防水池及配套附属建设项目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28</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吐鲁番市高昌区教育局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吐鲁番市高昌区中小学能力提升及附属工程</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0605 其他社会事业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29</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吐鲁番市高昌区环境卫生中心</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吐鲁番市高昌区城市生活垃圾收集焚烧处理建设项目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0501 城镇污水垃圾收集处理</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1.5</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吐鲁番经济开发区管理委员会</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吐鲁番经开区标准化厂房及基础设施建设项目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0802 产业园区基础设施（主要支持国家级、省级产业园区基础设施）</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31</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吐鲁番经济开发区管理委员会</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吐鲁番经济开发区南部矿区基础设施建设项目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0802 产业园区基础设施（主要支持国家级、省级产业园区基础设施）</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32</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吐鲁番市高昌区市政基础设施更新改造项目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0909 城市公共空间功能提升及其他城市更新基础设施建设</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33</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吐鲁番经济开发区管理委员会</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吐鲁番经济开发区南部矿区基础设施建设项目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0802 产业园区基础设施（主要支持国家级、省级产业园区基础设施）</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1</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34</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吐鲁番市高昌区燃气地下管网改造更新建设项目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080104 地下管线管廊</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0.5</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35</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吐鲁番市高昌区葡萄沟街道办事处</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吐鲁番市高昌区葡萄沟葡萄种植设施农业示范园建设项目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0401 农业</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专项债券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0.2</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36</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高昌区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吐鲁番市高昌区住房和城乡建设局</w:t>
            </w:r>
          </w:p>
        </w:tc>
        <w:tc>
          <w:tcPr>
            <w:tcW w:w="30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吐鲁番机场改扩建项目</w:t>
            </w:r>
          </w:p>
        </w:tc>
        <w:tc>
          <w:tcPr>
            <w:tcW w:w="24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0203 民用机场（不含通用机场）</w:t>
            </w:r>
          </w:p>
        </w:tc>
        <w:tc>
          <w:tcPr>
            <w:tcW w:w="9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default" w:asciiTheme="minorEastAsia" w:hAnsiTheme="minorEastAsia" w:eastAsiaTheme="minorEastAsia" w:cstheme="minorEastAsia"/>
                <w:i w:val="0"/>
                <w:snapToGrid w:val="0"/>
                <w:color w:val="000000"/>
                <w:kern w:val="0"/>
                <w:sz w:val="22"/>
                <w:szCs w:val="22"/>
                <w:u w:val="none"/>
                <w:lang w:val="en-US" w:eastAsia="zh-CN" w:bidi="ar"/>
              </w:rPr>
              <w:t>一般债券</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0.4</w:t>
            </w:r>
          </w:p>
        </w:tc>
        <w:tc>
          <w:tcPr>
            <w:tcW w:w="9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u w:val="none"/>
                <w:lang w:val="en-US" w:eastAsia="zh-CN" w:bidi="ar"/>
              </w:rPr>
            </w:pPr>
            <w:r>
              <w:rPr>
                <w:rFonts w:hint="eastAsia" w:asciiTheme="minorEastAsia" w:hAnsiTheme="minorEastAsia" w:eastAsiaTheme="minorEastAsia" w:cstheme="minorEastAsia"/>
                <w:i w:val="0"/>
                <w:snapToGrid w:val="0"/>
                <w:color w:val="000000"/>
                <w:kern w:val="0"/>
                <w:sz w:val="22"/>
                <w:szCs w:val="22"/>
                <w:u w:val="none"/>
                <w:lang w:val="en-US" w:eastAsia="zh-CN" w:bidi="ar"/>
              </w:rPr>
              <w:t xml:space="preserve">0.04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35" w:hRule="atLeast"/>
        </w:trPr>
        <w:tc>
          <w:tcPr>
            <w:tcW w:w="11010" w:type="dxa"/>
            <w:gridSpan w:val="8"/>
            <w:vAlign w:val="center"/>
          </w:tcPr>
          <w:p>
            <w:pPr>
              <w:keepNext w:val="0"/>
              <w:keepLines w:val="0"/>
              <w:widowControl/>
              <w:suppressLineNumbers w:val="0"/>
              <w:spacing w:line="240" w:lineRule="exact"/>
              <w:jc w:val="left"/>
              <w:textAlignment w:val="center"/>
              <w:rPr>
                <w:rFonts w:hint="default" w:ascii="Times New Roman" w:hAnsi="Times New Roman" w:eastAsia="宋体" w:cs="Times New Roman"/>
                <w:i w:val="0"/>
                <w:color w:val="auto"/>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备注：新增债券额度由各地州市统筹分配至地州市本级、所辖县市区；各地县的新增债券项目具体安排，由当地按程序报本级人大批准，未在此表中列示。</w:t>
            </w:r>
          </w:p>
        </w:tc>
      </w:tr>
    </w:tbl>
    <w:tbl>
      <w:tblPr>
        <w:tblStyle w:val="8"/>
        <w:tblW w:w="11025" w:type="dxa"/>
        <w:tblInd w:w="-10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480"/>
        <w:gridCol w:w="1715"/>
        <w:gridCol w:w="1915"/>
        <w:gridCol w:w="3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1025" w:type="dxa"/>
            <w:gridSpan w:val="4"/>
            <w:vAlign w:val="center"/>
          </w:tcPr>
          <w:p>
            <w:pPr>
              <w:keepNext w:val="0"/>
              <w:keepLines w:val="0"/>
              <w:widowControl/>
              <w:suppressLineNumbers w:val="0"/>
              <w:jc w:val="left"/>
              <w:textAlignment w:val="center"/>
              <w:rPr>
                <w:rFonts w:hint="default" w:ascii="Times New Roman" w:hAnsi="Times New Roman" w:eastAsia="宋体" w:cs="Times New Roman"/>
                <w:b/>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表3</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11025" w:type="dxa"/>
            <w:gridSpan w:val="4"/>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上年度高昌区</w:t>
            </w:r>
            <w:r>
              <w:rPr>
                <w:rFonts w:hint="default" w:ascii="宋体" w:hAnsi="宋体" w:eastAsia="宋体" w:cs="宋体"/>
                <w:b/>
                <w:i w:val="0"/>
                <w:snapToGrid w:val="0"/>
                <w:color w:val="000000"/>
                <w:kern w:val="0"/>
                <w:sz w:val="28"/>
                <w:szCs w:val="28"/>
                <w:u w:val="none"/>
                <w:lang w:val="en-US" w:eastAsia="zh-CN" w:bidi="ar"/>
              </w:rPr>
              <w:t>还本付息执行及本年度还本付息预算情况表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vAlign w:val="center"/>
          </w:tcPr>
          <w:p>
            <w:pPr>
              <w:rPr>
                <w:rFonts w:hint="default" w:ascii="Times New Roman" w:hAnsi="Times New Roman" w:eastAsia="宋体" w:cs="Times New Roman"/>
                <w:i w:val="0"/>
                <w:color w:val="auto"/>
                <w:sz w:val="20"/>
                <w:szCs w:val="20"/>
                <w:highlight w:val="none"/>
                <w:u w:val="none"/>
              </w:rPr>
            </w:pPr>
          </w:p>
        </w:tc>
        <w:tc>
          <w:tcPr>
            <w:tcW w:w="1715" w:type="dxa"/>
            <w:vAlign w:val="center"/>
          </w:tcPr>
          <w:p>
            <w:pPr>
              <w:rPr>
                <w:rFonts w:hint="default" w:ascii="Times New Roman" w:hAnsi="Times New Roman" w:eastAsia="宋体" w:cs="Times New Roman"/>
                <w:i w:val="0"/>
                <w:color w:val="auto"/>
                <w:sz w:val="20"/>
                <w:szCs w:val="20"/>
                <w:highlight w:val="none"/>
                <w:u w:val="none"/>
              </w:rPr>
            </w:pPr>
          </w:p>
        </w:tc>
        <w:tc>
          <w:tcPr>
            <w:tcW w:w="1915" w:type="dxa"/>
            <w:vAlign w:val="center"/>
          </w:tcPr>
          <w:p>
            <w:pPr>
              <w:rPr>
                <w:rFonts w:hint="default" w:ascii="Times New Roman" w:hAnsi="Times New Roman" w:eastAsia="宋体" w:cs="Times New Roman"/>
                <w:i w:val="0"/>
                <w:color w:val="auto"/>
                <w:sz w:val="20"/>
                <w:szCs w:val="20"/>
                <w:highlight w:val="none"/>
                <w:u w:val="none"/>
              </w:rPr>
            </w:pPr>
          </w:p>
        </w:tc>
        <w:tc>
          <w:tcPr>
            <w:tcW w:w="3915" w:type="dxa"/>
            <w:vAlign w:val="center"/>
          </w:tcPr>
          <w:p>
            <w:pPr>
              <w:keepNext w:val="0"/>
              <w:keepLines w:val="0"/>
              <w:widowControl/>
              <w:suppressLineNumbers w:val="0"/>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项    目</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Theme="minorEastAsia" w:hAnsiTheme="minorEastAsia" w:eastAsiaTheme="minorEastAsia" w:cstheme="minorEastAsia"/>
                <w:b/>
                <w:i w:val="0"/>
                <w:color w:val="000000"/>
                <w:sz w:val="22"/>
                <w:szCs w:val="22"/>
                <w:highlight w:val="none"/>
                <w:u w:val="none"/>
                <w:lang w:val="en-US" w:eastAsia="zh-CN"/>
              </w:rPr>
              <w:t>吐鲁番市</w:t>
            </w: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本级</w:t>
            </w: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Theme="minorEastAsia" w:hAnsiTheme="minorEastAsia" w:eastAsiaTheme="minorEastAsia" w:cstheme="minorEastAsia"/>
                <w:b/>
                <w:i w:val="0"/>
                <w:color w:val="000000"/>
                <w:kern w:val="0"/>
                <w:sz w:val="22"/>
                <w:szCs w:val="22"/>
                <w:highlight w:val="none"/>
                <w:u w:val="none"/>
                <w:lang w:val="en-US" w:eastAsia="zh-CN" w:bidi="ar"/>
              </w:rPr>
              <w:t>高昌区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一、上年度发行执行数</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ab/>
            </w: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33.32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（一）一般债券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其中：再融资债券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（二）专项债券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其中：再融资债券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二、上年度还本执行数</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（一）一般债券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（二）专项债券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三、上年度付息执行数</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3.36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（一）一般债券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（二）专项债券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四、本年度还本预算数</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（一）一般债券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其中：再融资</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财政预算安排</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（二）专项债券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其中：再融资</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财政预算安排</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五、本年度付息预算数</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（一）一般债券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0.84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34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（二）专项债券</w:t>
            </w:r>
          </w:p>
        </w:tc>
        <w:tc>
          <w:tcPr>
            <w:tcW w:w="1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1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p>
        </w:tc>
        <w:tc>
          <w:tcPr>
            <w:tcW w:w="3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3.06</w:t>
            </w:r>
          </w:p>
        </w:tc>
      </w:tr>
    </w:tbl>
    <w:tbl>
      <w:tblPr>
        <w:tblStyle w:val="8"/>
        <w:tblpPr w:leftFromText="180" w:rightFromText="180" w:vertAnchor="text" w:horzAnchor="page" w:tblpX="527" w:tblpY="292"/>
        <w:tblOverlap w:val="never"/>
        <w:tblW w:w="111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83"/>
        <w:gridCol w:w="537"/>
        <w:gridCol w:w="738"/>
        <w:gridCol w:w="2627"/>
        <w:gridCol w:w="2627"/>
        <w:gridCol w:w="821"/>
        <w:gridCol w:w="715"/>
        <w:gridCol w:w="880"/>
        <w:gridCol w:w="408"/>
        <w:gridCol w:w="443"/>
        <w:gridCol w:w="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11133" w:type="dxa"/>
            <w:gridSpan w:val="11"/>
            <w:vAlign w:val="center"/>
          </w:tcPr>
          <w:p>
            <w:pPr>
              <w:keepNext w:val="0"/>
              <w:keepLines w:val="0"/>
              <w:widowControl/>
              <w:suppressLineNumbers w:val="0"/>
              <w:jc w:val="left"/>
              <w:textAlignment w:val="center"/>
              <w:rPr>
                <w:rFonts w:hint="default" w:ascii="Times New Roman" w:hAnsi="Times New Roman" w:eastAsia="宋体" w:cs="Times New Roman"/>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表3</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11133" w:type="dxa"/>
            <w:gridSpan w:val="11"/>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本年度高昌区</w:t>
            </w:r>
            <w:r>
              <w:rPr>
                <w:rFonts w:hint="default" w:ascii="宋体" w:hAnsi="宋体" w:eastAsia="宋体" w:cs="宋体"/>
                <w:b/>
                <w:i w:val="0"/>
                <w:snapToGrid w:val="0"/>
                <w:color w:val="000000"/>
                <w:kern w:val="0"/>
                <w:sz w:val="28"/>
                <w:szCs w:val="28"/>
                <w:u w:val="none"/>
                <w:lang w:val="en-US" w:eastAsia="zh-CN" w:bidi="ar"/>
              </w:rPr>
              <w:t>政府新增债券资金使用安排情况表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1133" w:type="dxa"/>
            <w:gridSpan w:val="11"/>
            <w:vAlign w:val="center"/>
          </w:tcPr>
          <w:p>
            <w:pPr>
              <w:keepNext w:val="0"/>
              <w:keepLines w:val="0"/>
              <w:widowControl/>
              <w:suppressLineNumbers w:val="0"/>
              <w:jc w:val="right"/>
              <w:textAlignment w:val="center"/>
              <w:rPr>
                <w:rFonts w:hint="default" w:ascii="Times New Roman" w:hAnsi="Times New Roman" w:eastAsia="宋体" w:cs="Times New Roman"/>
                <w:i w:val="0"/>
                <w:color w:val="auto"/>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序号</w:t>
            </w:r>
          </w:p>
        </w:tc>
        <w:tc>
          <w:tcPr>
            <w:tcW w:w="5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区划</w:t>
            </w:r>
          </w:p>
        </w:tc>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项目单位</w:t>
            </w:r>
          </w:p>
        </w:tc>
        <w:tc>
          <w:tcPr>
            <w:tcW w:w="26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项目名称</w:t>
            </w:r>
          </w:p>
        </w:tc>
        <w:tc>
          <w:tcPr>
            <w:tcW w:w="26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投向领域</w:t>
            </w:r>
          </w:p>
        </w:tc>
        <w:tc>
          <w:tcPr>
            <w:tcW w:w="8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债券类型</w:t>
            </w:r>
          </w:p>
        </w:tc>
        <w:tc>
          <w:tcPr>
            <w:tcW w:w="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债券金额</w:t>
            </w:r>
          </w:p>
        </w:tc>
        <w:tc>
          <w:tcPr>
            <w:tcW w:w="8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偿还来源</w:t>
            </w:r>
          </w:p>
        </w:tc>
        <w:tc>
          <w:tcPr>
            <w:tcW w:w="4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债券期限</w:t>
            </w:r>
          </w:p>
        </w:tc>
        <w:tc>
          <w:tcPr>
            <w:tcW w:w="4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利率</w:t>
            </w:r>
          </w:p>
        </w:tc>
        <w:tc>
          <w:tcPr>
            <w:tcW w:w="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还本付息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5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73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26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26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82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7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8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40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4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c>
          <w:tcPr>
            <w:tcW w:w="5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11133" w:type="dxa"/>
            <w:gridSpan w:val="11"/>
            <w:vAlign w:val="center"/>
          </w:tcPr>
          <w:p>
            <w:pPr>
              <w:keepNext w:val="0"/>
              <w:keepLines w:val="0"/>
              <w:widowControl/>
              <w:suppressLineNumbers w:val="0"/>
              <w:jc w:val="left"/>
              <w:textAlignment w:val="center"/>
              <w:rPr>
                <w:rFonts w:hint="default" w:ascii="Times New Roman" w:hAnsi="Times New Roman" w:eastAsia="宋体" w:cs="Times New Roman"/>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themeColor="text1"/>
                <w:kern w:val="0"/>
                <w:sz w:val="22"/>
                <w:szCs w:val="22"/>
                <w:highlight w:val="none"/>
                <w:u w:val="none"/>
                <w:lang w:val="en-US" w:eastAsia="zh-CN" w:bidi="ar"/>
                <w14:textFill>
                  <w14:solidFill>
                    <w14:schemeClr w14:val="tx1"/>
                  </w14:solidFill>
                </w14:textFill>
              </w:rPr>
              <w:t>备注：新增债券额度由各地州市统筹分配至地州市本级、所辖县市区；各地县的新增债券项目具体安排，由当地按程序报本级人大批准，未在此表中列示。</w:t>
            </w:r>
          </w:p>
          <w:p>
            <w:pPr>
              <w:keepNext w:val="0"/>
              <w:keepLines w:val="0"/>
              <w:widowControl/>
              <w:suppressLineNumbers w:val="0"/>
              <w:jc w:val="left"/>
              <w:textAlignment w:val="center"/>
              <w:rPr>
                <w:rFonts w:hint="default" w:ascii="Times New Roman" w:hAnsi="Times New Roman" w:eastAsia="宋体" w:cs="Times New Roman"/>
                <w:i w:val="0"/>
                <w:color w:val="auto"/>
                <w:kern w:val="0"/>
                <w:sz w:val="20"/>
                <w:szCs w:val="20"/>
                <w:highlight w:val="none"/>
                <w:u w:val="none"/>
                <w:lang w:val="en-US" w:eastAsia="zh-CN" w:bidi="ar"/>
              </w:rPr>
            </w:pPr>
          </w:p>
        </w:tc>
      </w:tr>
    </w:tbl>
    <w:tbl>
      <w:tblPr>
        <w:tblStyle w:val="8"/>
        <w:tblW w:w="11220" w:type="dxa"/>
        <w:tblInd w:w="-10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785"/>
        <w:gridCol w:w="1584"/>
        <w:gridCol w:w="1580"/>
        <w:gridCol w:w="2180"/>
        <w:gridCol w:w="3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11220" w:type="dxa"/>
            <w:gridSpan w:val="5"/>
            <w:vAlign w:val="center"/>
          </w:tcPr>
          <w:p>
            <w:pPr>
              <w:keepNext w:val="0"/>
              <w:keepLines w:val="0"/>
              <w:widowControl/>
              <w:suppressLineNumbers w:val="0"/>
              <w:jc w:val="left"/>
              <w:textAlignment w:val="center"/>
              <w:rPr>
                <w:rFonts w:hint="default" w:ascii="Times New Roman" w:hAnsi="Times New Roman" w:eastAsia="宋体" w:cs="Times New Roman"/>
                <w:i w:val="0"/>
                <w:color w:val="auto"/>
                <w:kern w:val="0"/>
                <w:sz w:val="20"/>
                <w:szCs w:val="20"/>
                <w:highlight w:val="none"/>
                <w:u w:val="none"/>
                <w:lang w:val="en-US" w:eastAsia="zh-CN" w:bidi="ar"/>
              </w:rPr>
            </w:pPr>
          </w:p>
          <w:p>
            <w:pPr>
              <w:keepNext w:val="0"/>
              <w:keepLines w:val="0"/>
              <w:widowControl/>
              <w:suppressLineNumbers w:val="0"/>
              <w:jc w:val="left"/>
              <w:textAlignment w:val="center"/>
              <w:rPr>
                <w:rFonts w:hint="default" w:ascii="Times New Roman" w:hAnsi="Times New Roman" w:eastAsia="宋体" w:cs="Times New Roman"/>
                <w:b/>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表3</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11220" w:type="dxa"/>
            <w:gridSpan w:val="5"/>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上年度高昌区</w:t>
            </w:r>
            <w:r>
              <w:rPr>
                <w:rFonts w:hint="default" w:ascii="宋体" w:hAnsi="宋体" w:eastAsia="宋体" w:cs="宋体"/>
                <w:b/>
                <w:i w:val="0"/>
                <w:snapToGrid w:val="0"/>
                <w:color w:val="000000"/>
                <w:kern w:val="0"/>
                <w:sz w:val="28"/>
                <w:szCs w:val="28"/>
                <w:u w:val="none"/>
                <w:lang w:val="en-US" w:eastAsia="zh-CN" w:bidi="ar"/>
              </w:rPr>
              <w:t>本级政府专项债务表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2785" w:type="dxa"/>
            <w:vAlign w:val="center"/>
          </w:tcPr>
          <w:p>
            <w:pPr>
              <w:jc w:val="left"/>
              <w:rPr>
                <w:rFonts w:hint="default" w:ascii="Times New Roman" w:hAnsi="Times New Roman" w:eastAsia="宋体" w:cs="Times New Roman"/>
                <w:i w:val="0"/>
                <w:color w:val="auto"/>
                <w:sz w:val="20"/>
                <w:szCs w:val="20"/>
                <w:highlight w:val="none"/>
                <w:u w:val="none"/>
              </w:rPr>
            </w:pPr>
          </w:p>
        </w:tc>
        <w:tc>
          <w:tcPr>
            <w:tcW w:w="1584" w:type="dxa"/>
            <w:vAlign w:val="center"/>
          </w:tcPr>
          <w:p>
            <w:pPr>
              <w:rPr>
                <w:rFonts w:hint="default" w:ascii="Times New Roman" w:hAnsi="Times New Roman" w:eastAsia="宋体" w:cs="Times New Roman"/>
                <w:i w:val="0"/>
                <w:color w:val="auto"/>
                <w:sz w:val="20"/>
                <w:szCs w:val="20"/>
                <w:highlight w:val="none"/>
                <w:u w:val="none"/>
              </w:rPr>
            </w:pPr>
          </w:p>
        </w:tc>
        <w:tc>
          <w:tcPr>
            <w:tcW w:w="1580" w:type="dxa"/>
            <w:vAlign w:val="center"/>
          </w:tcPr>
          <w:p>
            <w:pPr>
              <w:rPr>
                <w:rFonts w:hint="default" w:ascii="Times New Roman" w:hAnsi="Times New Roman" w:eastAsia="宋体" w:cs="Times New Roman"/>
                <w:i w:val="0"/>
                <w:color w:val="auto"/>
                <w:sz w:val="20"/>
                <w:szCs w:val="20"/>
                <w:highlight w:val="none"/>
                <w:u w:val="none"/>
              </w:rPr>
            </w:pPr>
          </w:p>
        </w:tc>
        <w:tc>
          <w:tcPr>
            <w:tcW w:w="2180" w:type="dxa"/>
            <w:vAlign w:val="center"/>
          </w:tcPr>
          <w:p>
            <w:pPr>
              <w:rPr>
                <w:rFonts w:hint="default" w:ascii="Times New Roman" w:hAnsi="Times New Roman" w:eastAsia="宋体" w:cs="Times New Roman"/>
                <w:i w:val="0"/>
                <w:color w:val="auto"/>
                <w:sz w:val="20"/>
                <w:szCs w:val="20"/>
                <w:highlight w:val="none"/>
                <w:u w:val="none"/>
              </w:rPr>
            </w:pPr>
          </w:p>
        </w:tc>
        <w:tc>
          <w:tcPr>
            <w:tcW w:w="3091" w:type="dxa"/>
            <w:vAlign w:val="center"/>
          </w:tcPr>
          <w:p>
            <w:pPr>
              <w:keepNext w:val="0"/>
              <w:keepLines w:val="0"/>
              <w:widowControl/>
              <w:suppressLineNumbers w:val="0"/>
              <w:jc w:val="right"/>
              <w:textAlignment w:val="center"/>
              <w:rPr>
                <w:rFonts w:hint="default" w:ascii="Times New Roman" w:hAnsi="Times New Roman" w:eastAsia="宋体" w:cs="Times New Roman"/>
                <w:i w:val="0"/>
                <w:color w:val="auto"/>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27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地区</w:t>
            </w:r>
          </w:p>
        </w:tc>
        <w:tc>
          <w:tcPr>
            <w:tcW w:w="158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专项债券收入</w:t>
            </w:r>
          </w:p>
        </w:tc>
        <w:tc>
          <w:tcPr>
            <w:tcW w:w="15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专项债券支出</w:t>
            </w:r>
          </w:p>
        </w:tc>
        <w:tc>
          <w:tcPr>
            <w:tcW w:w="218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专项债券还本付息</w:t>
            </w:r>
          </w:p>
        </w:tc>
        <w:tc>
          <w:tcPr>
            <w:tcW w:w="3091"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专项收入情况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25" w:hRule="atLeast"/>
        </w:trPr>
        <w:tc>
          <w:tcPr>
            <w:tcW w:w="278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高昌区</w:t>
            </w:r>
          </w:p>
        </w:tc>
        <w:tc>
          <w:tcPr>
            <w:tcW w:w="1584"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27.57</w:t>
            </w:r>
          </w:p>
        </w:tc>
        <w:tc>
          <w:tcPr>
            <w:tcW w:w="158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7.87</w:t>
            </w:r>
          </w:p>
        </w:tc>
        <w:tc>
          <w:tcPr>
            <w:tcW w:w="2180"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2.78</w:t>
            </w:r>
          </w:p>
        </w:tc>
        <w:tc>
          <w:tcPr>
            <w:tcW w:w="3091"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1.42</w:t>
            </w:r>
          </w:p>
        </w:tc>
      </w:tr>
    </w:tbl>
    <w:tbl>
      <w:tblPr>
        <w:tblStyle w:val="8"/>
        <w:tblpPr w:leftFromText="180" w:rightFromText="180" w:vertAnchor="text" w:horzAnchor="page" w:tblpX="377" w:tblpY="330"/>
        <w:tblOverlap w:val="never"/>
        <w:tblW w:w="112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10"/>
        <w:gridCol w:w="1515"/>
        <w:gridCol w:w="1560"/>
        <w:gridCol w:w="2610"/>
        <w:gridCol w:w="799"/>
        <w:gridCol w:w="1024"/>
        <w:gridCol w:w="1043"/>
        <w:gridCol w:w="573"/>
        <w:gridCol w:w="656"/>
        <w:gridCol w:w="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1218" w:type="dxa"/>
            <w:gridSpan w:val="10"/>
            <w:vAlign w:val="center"/>
          </w:tcPr>
          <w:p>
            <w:pPr>
              <w:keepNext w:val="0"/>
              <w:keepLines w:val="0"/>
              <w:widowControl/>
              <w:suppressLineNumbers w:val="0"/>
              <w:jc w:val="left"/>
              <w:textAlignment w:val="center"/>
              <w:rPr>
                <w:rFonts w:hint="eastAsia" w:ascii="Times New Roman" w:hAnsi="Times New Roman" w:eastAsia="宋体" w:cs="Times New Roman"/>
                <w:b/>
                <w:i w:val="0"/>
                <w:color w:val="auto"/>
                <w:kern w:val="0"/>
                <w:sz w:val="20"/>
                <w:szCs w:val="20"/>
                <w:highlight w:val="none"/>
                <w:u w:val="none"/>
                <w:lang w:val="en-US" w:eastAsia="zh-CN"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Hans" w:bidi="ar"/>
              </w:rPr>
              <w:t>表3</w:t>
            </w:r>
            <w:r>
              <w:rPr>
                <w:rFonts w:hint="eastAsia" w:asciiTheme="minorEastAsia" w:hAnsiTheme="minorEastAsia" w:eastAsiaTheme="minorEastAsia" w:cstheme="minorEastAsia"/>
                <w:i w:val="0"/>
                <w:snapToGrid w:val="0"/>
                <w:color w:val="000000"/>
                <w:kern w:val="0"/>
                <w:sz w:val="22"/>
                <w:szCs w:val="22"/>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95" w:hRule="atLeast"/>
        </w:trPr>
        <w:tc>
          <w:tcPr>
            <w:tcW w:w="11218" w:type="dxa"/>
            <w:gridSpan w:val="10"/>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0"/>
                <w:szCs w:val="20"/>
                <w:highlight w:val="none"/>
                <w:u w:val="none"/>
              </w:rPr>
            </w:pPr>
            <w:r>
              <w:rPr>
                <w:rFonts w:hint="eastAsia" w:ascii="宋体" w:hAnsi="宋体" w:eastAsia="宋体" w:cs="宋体"/>
                <w:b/>
                <w:i w:val="0"/>
                <w:snapToGrid w:val="0"/>
                <w:color w:val="000000"/>
                <w:kern w:val="0"/>
                <w:sz w:val="28"/>
                <w:szCs w:val="28"/>
                <w:u w:val="none"/>
                <w:lang w:val="en-US" w:eastAsia="zh-CN" w:bidi="ar"/>
              </w:rPr>
              <w:t>上年度高昌区</w:t>
            </w:r>
            <w:r>
              <w:rPr>
                <w:rFonts w:hint="default" w:ascii="宋体" w:hAnsi="宋体" w:eastAsia="宋体" w:cs="宋体"/>
                <w:b/>
                <w:i w:val="0"/>
                <w:snapToGrid w:val="0"/>
                <w:color w:val="000000"/>
                <w:kern w:val="0"/>
                <w:sz w:val="28"/>
                <w:szCs w:val="28"/>
                <w:u w:val="none"/>
                <w:lang w:val="en-US" w:eastAsia="zh-CN" w:bidi="ar"/>
              </w:rPr>
              <w:t>本级政府专项债券项目表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710" w:type="dxa"/>
            <w:vAlign w:val="center"/>
          </w:tcPr>
          <w:p>
            <w:pPr>
              <w:jc w:val="left"/>
              <w:rPr>
                <w:rFonts w:hint="default" w:ascii="Times New Roman" w:hAnsi="Times New Roman" w:eastAsia="宋体" w:cs="Times New Roman"/>
                <w:i w:val="0"/>
                <w:color w:val="auto"/>
                <w:sz w:val="20"/>
                <w:szCs w:val="20"/>
                <w:highlight w:val="none"/>
                <w:u w:val="none"/>
              </w:rPr>
            </w:pPr>
          </w:p>
        </w:tc>
        <w:tc>
          <w:tcPr>
            <w:tcW w:w="1515" w:type="dxa"/>
            <w:vAlign w:val="center"/>
          </w:tcPr>
          <w:p>
            <w:pPr>
              <w:jc w:val="center"/>
              <w:rPr>
                <w:rFonts w:hint="default" w:ascii="Times New Roman" w:hAnsi="Times New Roman" w:eastAsia="宋体" w:cs="Times New Roman"/>
                <w:i w:val="0"/>
                <w:color w:val="auto"/>
                <w:sz w:val="20"/>
                <w:szCs w:val="20"/>
                <w:highlight w:val="none"/>
                <w:u w:val="none"/>
              </w:rPr>
            </w:pPr>
          </w:p>
        </w:tc>
        <w:tc>
          <w:tcPr>
            <w:tcW w:w="1560" w:type="dxa"/>
            <w:vAlign w:val="center"/>
          </w:tcPr>
          <w:p>
            <w:pPr>
              <w:rPr>
                <w:rFonts w:hint="default" w:ascii="Times New Roman" w:hAnsi="Times New Roman" w:eastAsia="宋体" w:cs="Times New Roman"/>
                <w:i w:val="0"/>
                <w:color w:val="auto"/>
                <w:sz w:val="20"/>
                <w:szCs w:val="20"/>
                <w:highlight w:val="none"/>
                <w:u w:val="none"/>
              </w:rPr>
            </w:pPr>
          </w:p>
        </w:tc>
        <w:tc>
          <w:tcPr>
            <w:tcW w:w="2610" w:type="dxa"/>
            <w:vAlign w:val="center"/>
          </w:tcPr>
          <w:p>
            <w:pPr>
              <w:rPr>
                <w:rFonts w:hint="default" w:ascii="Times New Roman" w:hAnsi="Times New Roman" w:eastAsia="宋体" w:cs="Times New Roman"/>
                <w:i w:val="0"/>
                <w:color w:val="auto"/>
                <w:sz w:val="20"/>
                <w:szCs w:val="20"/>
                <w:highlight w:val="none"/>
                <w:u w:val="none"/>
              </w:rPr>
            </w:pPr>
          </w:p>
        </w:tc>
        <w:tc>
          <w:tcPr>
            <w:tcW w:w="799" w:type="dxa"/>
            <w:vAlign w:val="center"/>
          </w:tcPr>
          <w:p>
            <w:pPr>
              <w:rPr>
                <w:rFonts w:hint="default" w:ascii="Times New Roman" w:hAnsi="Times New Roman" w:eastAsia="宋体" w:cs="Times New Roman"/>
                <w:i w:val="0"/>
                <w:color w:val="auto"/>
                <w:sz w:val="20"/>
                <w:szCs w:val="20"/>
                <w:highlight w:val="none"/>
                <w:u w:val="none"/>
              </w:rPr>
            </w:pPr>
          </w:p>
        </w:tc>
        <w:tc>
          <w:tcPr>
            <w:tcW w:w="1024" w:type="dxa"/>
            <w:vAlign w:val="center"/>
          </w:tcPr>
          <w:p>
            <w:pPr>
              <w:rPr>
                <w:rFonts w:hint="default" w:ascii="Times New Roman" w:hAnsi="Times New Roman" w:eastAsia="宋体" w:cs="Times New Roman"/>
                <w:i w:val="0"/>
                <w:color w:val="auto"/>
                <w:sz w:val="20"/>
                <w:szCs w:val="20"/>
                <w:highlight w:val="none"/>
                <w:u w:val="none"/>
              </w:rPr>
            </w:pPr>
          </w:p>
        </w:tc>
        <w:tc>
          <w:tcPr>
            <w:tcW w:w="1043" w:type="dxa"/>
            <w:vAlign w:val="center"/>
          </w:tcPr>
          <w:p>
            <w:pPr>
              <w:rPr>
                <w:rFonts w:hint="default" w:ascii="Times New Roman" w:hAnsi="Times New Roman" w:eastAsia="宋体" w:cs="Times New Roman"/>
                <w:i w:val="0"/>
                <w:color w:val="auto"/>
                <w:sz w:val="20"/>
                <w:szCs w:val="20"/>
                <w:highlight w:val="none"/>
                <w:u w:val="none"/>
              </w:rPr>
            </w:pPr>
          </w:p>
        </w:tc>
        <w:tc>
          <w:tcPr>
            <w:tcW w:w="573" w:type="dxa"/>
            <w:vAlign w:val="center"/>
          </w:tcPr>
          <w:p>
            <w:pPr>
              <w:rPr>
                <w:rFonts w:hint="default" w:ascii="Times New Roman" w:hAnsi="Times New Roman" w:eastAsia="宋体" w:cs="Times New Roman"/>
                <w:i w:val="0"/>
                <w:color w:val="auto"/>
                <w:sz w:val="20"/>
                <w:szCs w:val="20"/>
                <w:highlight w:val="none"/>
                <w:u w:val="none"/>
              </w:rPr>
            </w:pPr>
          </w:p>
        </w:tc>
        <w:tc>
          <w:tcPr>
            <w:tcW w:w="1384" w:type="dxa"/>
            <w:gridSpan w:val="2"/>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snapToGrid w:val="0"/>
                <w:color w:val="000000"/>
                <w:kern w:val="0"/>
                <w:sz w:val="22"/>
                <w:szCs w:val="22"/>
                <w:highlight w:val="none"/>
                <w:u w:val="none"/>
                <w:lang w:val="en-US" w:eastAsia="zh-Hans" w:bidi="ar"/>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单位：亿元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0" w:hRule="atLeast"/>
        </w:trPr>
        <w:tc>
          <w:tcPr>
            <w:tcW w:w="710"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序号</w:t>
            </w:r>
          </w:p>
        </w:tc>
        <w:tc>
          <w:tcPr>
            <w:tcW w:w="1515"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主管部门</w:t>
            </w:r>
          </w:p>
        </w:tc>
        <w:tc>
          <w:tcPr>
            <w:tcW w:w="1560"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项目单位</w:t>
            </w:r>
          </w:p>
        </w:tc>
        <w:tc>
          <w:tcPr>
            <w:tcW w:w="2610"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项目名称</w:t>
            </w:r>
          </w:p>
        </w:tc>
        <w:tc>
          <w:tcPr>
            <w:tcW w:w="799"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债券金额</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债券类型</w:t>
            </w:r>
          </w:p>
        </w:tc>
        <w:tc>
          <w:tcPr>
            <w:tcW w:w="1043"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偿还来源</w:t>
            </w:r>
          </w:p>
        </w:tc>
        <w:tc>
          <w:tcPr>
            <w:tcW w:w="573"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债券期限</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（年）</w:t>
            </w:r>
          </w:p>
        </w:tc>
        <w:tc>
          <w:tcPr>
            <w:tcW w:w="656"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利率</w:t>
            </w: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w:t>
            </w:r>
          </w:p>
        </w:tc>
        <w:tc>
          <w:tcPr>
            <w:tcW w:w="728" w:type="dxa"/>
            <w:tcBorders>
              <w:top w:val="single" w:color="000000" w:sz="4" w:space="0"/>
              <w:left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债券存续期内还本付息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t>合计</w:t>
            </w:r>
          </w:p>
        </w:tc>
        <w:tc>
          <w:tcPr>
            <w:tcW w:w="15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261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79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right"/>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r>
              <w:rPr>
                <w:rFonts w:hint="eastAsia" w:asciiTheme="minorEastAsia" w:hAnsiTheme="minorEastAsia" w:eastAsiaTheme="minorEastAsia" w:cstheme="minorEastAsia"/>
                <w:b/>
                <w:i w:val="0"/>
                <w:snapToGrid w:val="0"/>
                <w:color w:val="000000"/>
                <w:kern w:val="0"/>
                <w:sz w:val="22"/>
                <w:szCs w:val="22"/>
                <w:highlight w:val="none"/>
                <w:u w:val="none"/>
                <w:lang w:val="en-US" w:eastAsia="zh-CN" w:bidi="ar"/>
              </w:rPr>
              <w:t>27.57</w:t>
            </w:r>
          </w:p>
        </w:tc>
        <w:tc>
          <w:tcPr>
            <w:tcW w:w="102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104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57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6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c>
          <w:tcPr>
            <w:tcW w:w="7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kinsoku w:val="0"/>
              <w:autoSpaceDE w:val="0"/>
              <w:autoSpaceDN w:val="0"/>
              <w:adjustRightInd w:val="0"/>
              <w:snapToGrid w:val="0"/>
              <w:spacing w:line="240" w:lineRule="auto"/>
              <w:jc w:val="center"/>
              <w:textAlignment w:val="center"/>
              <w:rPr>
                <w:rFonts w:hint="default" w:asciiTheme="minorEastAsia" w:hAnsiTheme="minorEastAsia" w:eastAsiaTheme="minorEastAsia" w:cstheme="minorEastAsia"/>
                <w:b/>
                <w:i w:val="0"/>
                <w:snapToGrid w:val="0"/>
                <w:color w:val="000000"/>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吐鲁番市高昌区水利局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吐鲁番市高昌区水利局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新疆吐鲁番市高昌区塔尔朗水库工程</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2.34</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吐鲁番经济开发区南部矿区基础设施建设项目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0.2</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15</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2.06</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吐鲁番市高昌区财政局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吐鲁番市高昌区财政局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吐鲁番市高昌区政府投资项目（一）</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2.63</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2.03</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3.70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吐鲁番市自然资源局高昌区分局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吐鲁番市自然资源局高昌区分局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吐鲁番市2025年高昌区土地储备专项债券（一期）项目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eastAsia"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5</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1.63</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2.16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吐鲁番市高昌区财政局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吐鲁番市高昌区财政局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吐鲁番市高昌区政府投资项目（二）</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2.76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30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2.03</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4.44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吐鲁番市高昌区财政局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吐鲁番市高昌区财政局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吐鲁番市高昌区政府投资项目（三）</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0.78</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30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吐鲁番市高昌区主城区供水管网更新升级改造项目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1.6</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吐鲁番市高昌区供水计量设施改造提升项目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0.3</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976001-吐鲁番经济开发区管理委员会</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976001-吐鲁番经济开发区管理委员会</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吐鲁番经开区产业园区基础设施综合提升建设项目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吐鲁番市高昌区文化产业园片区集中供热工程</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1.4</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1.69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吐鲁番市高昌区火车站片区集中供热基础设施暖民建设工程</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0.2</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吐鲁番市高昌区新能源集中供热设施更新及改造提升建设项目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0.2</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吐鲁番经开区产业园区基础设施综合提升建设项目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9.1</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10.96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吐鲁番市高昌区新城老旧街区改造提升建设项目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0.3</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吐鲁番市高昌区环境卫生中心</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吐鲁番市高昌区环境卫生中心</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吐鲁番市高昌区城市生活垃圾收集焚烧处理建设项目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吐鲁番经开区标准化厂房及基础设施建设项目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15</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2.24</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吐鲁番经济开发区南部矿区基础设施建设项目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0.8</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15</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2.19</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18</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吐鲁番经济开发区管理委员会</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吐鲁番经济开发区南部矿区基础设施建设项目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15</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1.95</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1.29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吐鲁番市高昌区住房和城乡建设局</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吐鲁番市高昌区燃气地下管网改造更新建设项目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0.5</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20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吐鲁番市高昌区葡萄沟街道办事处</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吐鲁番市高昌区葡萄沟街道办事处</w:t>
            </w:r>
          </w:p>
        </w:tc>
        <w:tc>
          <w:tcPr>
            <w:tcW w:w="26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吐鲁番市高昌区葡萄沟葡萄种植设施农业示范园建设项目</w:t>
            </w:r>
          </w:p>
        </w:tc>
        <w:tc>
          <w:tcPr>
            <w:tcW w:w="7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0.2</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rPr>
              <w:t>专项债券</w:t>
            </w:r>
          </w:p>
        </w:tc>
        <w:tc>
          <w:tcPr>
            <w:tcW w:w="104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center"/>
              <w:textAlignment w:val="baseline"/>
              <w:rPr>
                <w:rFonts w:hint="default" w:asciiTheme="minorEastAsia" w:hAnsiTheme="minorEastAsia" w:eastAsiaTheme="minorEastAsia" w:cstheme="minorEastAsia"/>
                <w:i w:val="0"/>
                <w:snapToGrid w:val="0"/>
                <w:color w:val="000000"/>
                <w:kern w:val="0"/>
                <w:sz w:val="22"/>
                <w:szCs w:val="22"/>
                <w:highlight w:val="none"/>
                <w:u w:val="none"/>
                <w:lang w:eastAsia="en-US"/>
              </w:rPr>
            </w:pPr>
            <w:r>
              <w:rPr>
                <w:rFonts w:hint="eastAsia" w:asciiTheme="minorEastAsia" w:hAnsiTheme="minorEastAsia" w:eastAsiaTheme="minorEastAsia" w:cstheme="minorEastAsia"/>
                <w:i w:val="0"/>
                <w:snapToGrid w:val="0"/>
                <w:color w:val="000000"/>
                <w:kern w:val="0"/>
                <w:sz w:val="22"/>
                <w:szCs w:val="22"/>
                <w:highlight w:val="none"/>
                <w:u w:val="none"/>
                <w:lang w:eastAsia="zh-CN"/>
              </w:rPr>
              <w:t>政府性基金收入</w:t>
            </w:r>
          </w:p>
        </w:tc>
        <w:tc>
          <w:tcPr>
            <w:tcW w:w="573"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10</w:t>
            </w:r>
          </w:p>
        </w:tc>
        <w:tc>
          <w:tcPr>
            <w:tcW w:w="656" w:type="dxa"/>
            <w:tcBorders>
              <w:top w:val="single" w:color="000000" w:sz="4" w:space="0"/>
              <w:left w:val="single" w:color="000000" w:sz="4" w:space="0"/>
              <w:bottom w:val="single" w:color="000000" w:sz="4" w:space="0"/>
              <w:right w:val="single" w:color="000000" w:sz="4" w:space="0"/>
            </w:tcBorders>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kinsoku w:val="0"/>
              <w:autoSpaceDE w:val="0"/>
              <w:autoSpaceDN w:val="0"/>
              <w:adjustRightInd w:val="0"/>
              <w:snapToGrid w:val="0"/>
              <w:spacing w:line="240" w:lineRule="auto"/>
              <w:jc w:val="right"/>
              <w:textAlignment w:val="baseline"/>
              <w:rPr>
                <w:rFonts w:hint="default" w:asciiTheme="minorEastAsia" w:hAnsiTheme="minorEastAsia" w:eastAsiaTheme="minorEastAsia" w:cstheme="minorEastAsia"/>
                <w:i w:val="0"/>
                <w:snapToGrid w:val="0"/>
                <w:color w:val="000000"/>
                <w:kern w:val="0"/>
                <w:sz w:val="22"/>
                <w:szCs w:val="22"/>
                <w:highlight w:val="none"/>
                <w:u w:val="none"/>
                <w:lang w:val="en-US" w:eastAsia="zh-CN"/>
              </w:rPr>
            </w:pPr>
            <w:r>
              <w:rPr>
                <w:rFonts w:hint="eastAsia" w:asciiTheme="minorEastAsia" w:hAnsiTheme="minorEastAsia" w:eastAsiaTheme="minorEastAsia" w:cstheme="minorEastAsia"/>
                <w:i w:val="0"/>
                <w:snapToGrid w:val="0"/>
                <w:color w:val="000000"/>
                <w:kern w:val="0"/>
                <w:sz w:val="22"/>
                <w:szCs w:val="22"/>
                <w:highlight w:val="none"/>
                <w:u w:val="none"/>
                <w:lang w:val="en-US" w:eastAsia="zh-CN"/>
              </w:rPr>
              <w:t xml:space="preserve">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11218" w:type="dxa"/>
            <w:gridSpan w:val="10"/>
            <w:tcBorders>
              <w:top w:val="single" w:color="000000" w:sz="4" w:space="0"/>
            </w:tcBorders>
            <w:vAlign w:val="center"/>
          </w:tcPr>
          <w:p>
            <w:pPr>
              <w:keepNext w:val="0"/>
              <w:keepLines w:val="0"/>
              <w:widowControl/>
              <w:suppressLineNumbers w:val="0"/>
              <w:jc w:val="left"/>
              <w:textAlignment w:val="center"/>
              <w:rPr>
                <w:rFonts w:hint="default" w:ascii="Times New Roman" w:hAnsi="Times New Roman" w:eastAsia="宋体" w:cs="Times New Roman"/>
                <w:i w:val="0"/>
                <w:color w:val="auto"/>
                <w:sz w:val="20"/>
                <w:szCs w:val="20"/>
                <w:highlight w:val="none"/>
                <w:u w:val="none"/>
              </w:rPr>
            </w:pPr>
            <w:r>
              <w:rPr>
                <w:rFonts w:hint="default" w:asciiTheme="minorEastAsia" w:hAnsiTheme="minorEastAsia" w:eastAsiaTheme="minorEastAsia" w:cstheme="minorEastAsia"/>
                <w:i w:val="0"/>
                <w:snapToGrid w:val="0"/>
                <w:color w:val="000000"/>
                <w:kern w:val="0"/>
                <w:sz w:val="22"/>
                <w:szCs w:val="22"/>
                <w:highlight w:val="none"/>
                <w:u w:val="none"/>
                <w:lang w:val="en-US" w:eastAsia="zh-CN" w:bidi="ar"/>
              </w:rPr>
              <w:t>备注：所有专项债券在进入项目储备库之前，全部编制《项目实施方案》，全面反映项目收支预算总体平衡方案和分年平衡方案，并经过独立第三方进行评审。</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46" w:firstLineChars="200"/>
        <w:jc w:val="both"/>
        <w:textAlignment w:val="auto"/>
        <w:outlineLvl w:val="9"/>
        <w:rPr>
          <w:rFonts w:hint="default" w:ascii="Times New Roman" w:hAnsi="Times New Roman" w:eastAsia="楷体_GB2312" w:cs="Times New Roman"/>
          <w:b/>
          <w:color w:val="auto"/>
          <w:spacing w:val="-4"/>
          <w:sz w:val="28"/>
          <w:szCs w:val="28"/>
          <w:highlight w:val="none"/>
          <w:lang w:val="en-US" w:eastAsia="zh-CN"/>
        </w:rPr>
      </w:pPr>
      <w:r>
        <w:rPr>
          <w:rFonts w:hint="default" w:ascii="Times New Roman" w:hAnsi="Times New Roman" w:eastAsia="楷体_GB2312" w:cs="Times New Roman"/>
          <w:b/>
          <w:color w:val="auto"/>
          <w:spacing w:val="-4"/>
          <w:sz w:val="28"/>
          <w:szCs w:val="28"/>
          <w:highlight w:val="none"/>
          <w:lang w:val="en-US" w:eastAsia="zh-CN"/>
        </w:rPr>
        <w:t>一、</w:t>
      </w:r>
      <w:r>
        <w:rPr>
          <w:rFonts w:hint="eastAsia" w:eastAsia="楷体_GB2312" w:cs="Times New Roman"/>
          <w:b/>
          <w:color w:val="auto"/>
          <w:spacing w:val="-4"/>
          <w:sz w:val="28"/>
          <w:szCs w:val="28"/>
          <w:highlight w:val="none"/>
          <w:lang w:val="en-US" w:eastAsia="zh-CN"/>
        </w:rPr>
        <w:t>2025</w:t>
      </w:r>
      <w:r>
        <w:rPr>
          <w:rFonts w:hint="default" w:ascii="Times New Roman" w:hAnsi="Times New Roman" w:eastAsia="楷体_GB2312" w:cs="Times New Roman"/>
          <w:b/>
          <w:color w:val="auto"/>
          <w:spacing w:val="-4"/>
          <w:sz w:val="28"/>
          <w:szCs w:val="28"/>
          <w:highlight w:val="none"/>
          <w:lang w:val="en-US" w:eastAsia="zh-CN"/>
        </w:rPr>
        <w:t>年度政府债务限额总体情况</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400" w:lineRule="exact"/>
        <w:ind w:left="0" w:leftChars="0" w:right="0" w:rightChars="0" w:firstLine="560" w:firstLineChars="200"/>
        <w:jc w:val="both"/>
        <w:textAlignment w:val="auto"/>
        <w:outlineLvl w:val="9"/>
        <w:rPr>
          <w:rFonts w:hint="default" w:ascii="Times New Roman" w:hAnsi="Times New Roman" w:eastAsia="仿宋_GB2312" w:cs="Times New Roman"/>
          <w:color w:val="auto"/>
          <w:kern w:val="0"/>
          <w:sz w:val="28"/>
          <w:szCs w:val="28"/>
          <w:highlight w:val="none"/>
          <w:lang w:val="en-US" w:eastAsia="zh-CN" w:bidi="ar"/>
        </w:rPr>
      </w:pPr>
      <w:r>
        <w:rPr>
          <w:rFonts w:hint="eastAsia" w:eastAsia="仿宋_GB2312" w:cs="Times New Roman"/>
          <w:color w:val="auto"/>
          <w:kern w:val="0"/>
          <w:sz w:val="28"/>
          <w:szCs w:val="28"/>
          <w:highlight w:val="none"/>
          <w:lang w:val="en-US" w:eastAsia="zh-CN" w:bidi="ar"/>
        </w:rPr>
        <w:t>2025</w:t>
      </w:r>
      <w:r>
        <w:rPr>
          <w:rFonts w:hint="default" w:ascii="Times New Roman" w:hAnsi="Times New Roman" w:eastAsia="仿宋_GB2312" w:cs="Times New Roman"/>
          <w:color w:val="auto"/>
          <w:kern w:val="0"/>
          <w:sz w:val="28"/>
          <w:szCs w:val="28"/>
          <w:highlight w:val="none"/>
          <w:lang w:val="en-US" w:eastAsia="zh-CN" w:bidi="ar"/>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kern w:val="0"/>
          <w:sz w:val="28"/>
          <w:szCs w:val="28"/>
          <w:highlight w:val="none"/>
          <w:lang w:val="en-US" w:eastAsia="zh-CN" w:bidi="ar"/>
        </w:rPr>
        <w:t>政府债务限额为</w:t>
      </w:r>
      <w:r>
        <w:rPr>
          <w:rFonts w:hint="eastAsia" w:eastAsia="仿宋_GB2312" w:cs="Times New Roman"/>
          <w:color w:val="auto"/>
          <w:kern w:val="0"/>
          <w:sz w:val="28"/>
          <w:szCs w:val="28"/>
          <w:highlight w:val="none"/>
          <w:lang w:val="en-US" w:eastAsia="zh-CN" w:bidi="ar"/>
        </w:rPr>
        <w:t>134.43</w:t>
      </w:r>
      <w:r>
        <w:rPr>
          <w:rFonts w:hint="default" w:ascii="Times New Roman" w:hAnsi="Times New Roman" w:eastAsia="仿宋_GB2312" w:cs="Times New Roman"/>
          <w:color w:val="auto"/>
          <w:kern w:val="0"/>
          <w:sz w:val="28"/>
          <w:szCs w:val="28"/>
          <w:highlight w:val="none"/>
          <w:lang w:val="en-US" w:eastAsia="zh-CN" w:bidi="ar"/>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（一）政府债务限额分类型情况。</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1.一般债务限额总额情况。</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政府一般债务限额为</w:t>
      </w:r>
      <w:r>
        <w:rPr>
          <w:rFonts w:hint="eastAsia" w:eastAsia="仿宋_GB2312" w:cs="Times New Roman"/>
          <w:color w:val="auto"/>
          <w:sz w:val="28"/>
          <w:szCs w:val="28"/>
          <w:highlight w:val="none"/>
          <w:lang w:val="en-US" w:eastAsia="zh-CN"/>
        </w:rPr>
        <w:t>33.31</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2.专项债务限额总额情况。</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政府专项债务限额为</w:t>
      </w:r>
      <w:r>
        <w:rPr>
          <w:rFonts w:hint="eastAsia" w:eastAsia="仿宋_GB2312" w:cs="Times New Roman"/>
          <w:color w:val="auto"/>
          <w:sz w:val="28"/>
          <w:szCs w:val="28"/>
          <w:highlight w:val="none"/>
          <w:lang w:val="en-US" w:eastAsia="zh-CN"/>
        </w:rPr>
        <w:t>101.12</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b/>
          <w:bCs/>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（二）新增债务限额情况。</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1.新增一般债务限额情况。</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政府新增一般债务限额为</w:t>
      </w:r>
      <w:r>
        <w:rPr>
          <w:rFonts w:hint="eastAsia" w:eastAsia="仿宋_GB2312" w:cs="Times New Roman"/>
          <w:color w:val="auto"/>
          <w:sz w:val="28"/>
          <w:szCs w:val="28"/>
          <w:highlight w:val="none"/>
          <w:lang w:val="en-US" w:eastAsia="zh-CN"/>
        </w:rPr>
        <w:t>3.80</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2.新增专项债务限额情况。</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政府新增专项债务限额为</w:t>
      </w:r>
      <w:r>
        <w:rPr>
          <w:rFonts w:hint="eastAsia" w:eastAsia="仿宋_GB2312" w:cs="Times New Roman"/>
          <w:color w:val="auto"/>
          <w:sz w:val="28"/>
          <w:szCs w:val="28"/>
          <w:highlight w:val="none"/>
          <w:lang w:val="en-US" w:eastAsia="zh-CN"/>
        </w:rPr>
        <w:t>27.57</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46" w:firstLineChars="200"/>
        <w:jc w:val="both"/>
        <w:textAlignment w:val="auto"/>
        <w:outlineLvl w:val="9"/>
        <w:rPr>
          <w:rFonts w:hint="default" w:ascii="Times New Roman" w:hAnsi="Times New Roman" w:eastAsia="楷体_GB2312" w:cs="Times New Roman"/>
          <w:b/>
          <w:color w:val="auto"/>
          <w:spacing w:val="-4"/>
          <w:sz w:val="28"/>
          <w:szCs w:val="28"/>
          <w:highlight w:val="none"/>
          <w:lang w:val="en-US" w:eastAsia="zh-CN"/>
        </w:rPr>
      </w:pPr>
      <w:r>
        <w:rPr>
          <w:rFonts w:hint="default" w:ascii="Times New Roman" w:hAnsi="Times New Roman" w:eastAsia="楷体_GB2312" w:cs="Times New Roman"/>
          <w:b/>
          <w:color w:val="auto"/>
          <w:spacing w:val="-4"/>
          <w:sz w:val="28"/>
          <w:szCs w:val="28"/>
          <w:highlight w:val="none"/>
          <w:lang w:val="en-US" w:eastAsia="zh-CN"/>
        </w:rPr>
        <w:t>二、</w:t>
      </w:r>
      <w:r>
        <w:rPr>
          <w:rFonts w:hint="eastAsia" w:eastAsia="楷体_GB2312" w:cs="Times New Roman"/>
          <w:b/>
          <w:color w:val="auto"/>
          <w:spacing w:val="-4"/>
          <w:sz w:val="28"/>
          <w:szCs w:val="28"/>
          <w:highlight w:val="none"/>
          <w:lang w:val="en-US" w:eastAsia="zh-CN"/>
        </w:rPr>
        <w:t>2025</w:t>
      </w:r>
      <w:r>
        <w:rPr>
          <w:rFonts w:hint="default" w:ascii="Times New Roman" w:hAnsi="Times New Roman" w:eastAsia="楷体_GB2312" w:cs="Times New Roman"/>
          <w:b/>
          <w:color w:val="auto"/>
          <w:spacing w:val="-4"/>
          <w:sz w:val="28"/>
          <w:szCs w:val="28"/>
          <w:highlight w:val="none"/>
          <w:lang w:val="en-US" w:eastAsia="zh-CN"/>
        </w:rPr>
        <w:t>年度政府债务余额情况</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2025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政府债务余额决算数为</w:t>
      </w:r>
      <w:r>
        <w:rPr>
          <w:rFonts w:hint="eastAsia" w:eastAsia="仿宋_GB2312" w:cs="Times New Roman"/>
          <w:color w:val="auto"/>
          <w:sz w:val="28"/>
          <w:szCs w:val="28"/>
          <w:highlight w:val="none"/>
          <w:lang w:val="en-US" w:eastAsia="zh-CN"/>
        </w:rPr>
        <w:t>132.56</w:t>
      </w:r>
      <w:r>
        <w:rPr>
          <w:rFonts w:hint="default" w:ascii="Times New Roman" w:hAnsi="Times New Roman" w:eastAsia="仿宋_GB2312" w:cs="Times New Roman"/>
          <w:color w:val="auto"/>
          <w:sz w:val="28"/>
          <w:szCs w:val="28"/>
          <w:highlight w:val="none"/>
          <w:lang w:val="en-US" w:eastAsia="zh-CN"/>
        </w:rPr>
        <w:t>亿元，政府债务余额全部严格控制在限额</w:t>
      </w:r>
      <w:r>
        <w:rPr>
          <w:rFonts w:hint="eastAsia" w:eastAsia="仿宋_GB2312" w:cs="Times New Roman"/>
          <w:color w:val="auto"/>
          <w:sz w:val="28"/>
          <w:szCs w:val="28"/>
          <w:highlight w:val="none"/>
          <w:lang w:val="en-US" w:eastAsia="zh-CN"/>
        </w:rPr>
        <w:t>134.43</w:t>
      </w:r>
      <w:r>
        <w:rPr>
          <w:rFonts w:hint="default" w:ascii="Times New Roman" w:hAnsi="Times New Roman" w:eastAsia="仿宋_GB2312" w:cs="Times New Roman"/>
          <w:color w:val="auto"/>
          <w:sz w:val="28"/>
          <w:szCs w:val="28"/>
          <w:highlight w:val="none"/>
          <w:lang w:val="en-US" w:eastAsia="zh-CN"/>
        </w:rPr>
        <w:t>亿元内。</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（一）一般债务余额决算数。</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政府一般债务余额决算数为</w:t>
      </w:r>
      <w:r>
        <w:rPr>
          <w:rFonts w:hint="eastAsia" w:eastAsia="仿宋_GB2312" w:cs="Times New Roman"/>
          <w:color w:val="auto"/>
          <w:sz w:val="28"/>
          <w:szCs w:val="28"/>
          <w:highlight w:val="none"/>
          <w:lang w:val="en-US" w:eastAsia="zh-CN"/>
        </w:rPr>
        <w:t>31.97</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（二）专项债务余额决算数。</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政府专项债务余额决算数为</w:t>
      </w:r>
      <w:r>
        <w:rPr>
          <w:rFonts w:hint="eastAsia" w:eastAsia="仿宋_GB2312" w:cs="Times New Roman"/>
          <w:color w:val="auto"/>
          <w:sz w:val="28"/>
          <w:szCs w:val="28"/>
          <w:highlight w:val="none"/>
          <w:lang w:val="en-US" w:eastAsia="zh-CN"/>
        </w:rPr>
        <w:t>100.59</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46" w:firstLineChars="200"/>
        <w:jc w:val="both"/>
        <w:textAlignment w:val="auto"/>
        <w:outlineLvl w:val="9"/>
        <w:rPr>
          <w:rFonts w:hint="default" w:ascii="Times New Roman" w:hAnsi="Times New Roman" w:eastAsia="楷体_GB2312" w:cs="Times New Roman"/>
          <w:b/>
          <w:color w:val="auto"/>
          <w:spacing w:val="-4"/>
          <w:sz w:val="28"/>
          <w:szCs w:val="28"/>
          <w:highlight w:val="none"/>
          <w:lang w:val="en-US" w:eastAsia="zh-CN"/>
        </w:rPr>
      </w:pPr>
      <w:r>
        <w:rPr>
          <w:rFonts w:hint="default" w:ascii="Times New Roman" w:hAnsi="Times New Roman" w:eastAsia="楷体_GB2312" w:cs="Times New Roman"/>
          <w:b/>
          <w:color w:val="auto"/>
          <w:spacing w:val="-4"/>
          <w:sz w:val="28"/>
          <w:szCs w:val="28"/>
          <w:highlight w:val="none"/>
          <w:lang w:val="en-US" w:eastAsia="zh-CN"/>
        </w:rPr>
        <w:t>三、</w:t>
      </w:r>
      <w:r>
        <w:rPr>
          <w:rFonts w:hint="eastAsia" w:eastAsia="楷体_GB2312" w:cs="Times New Roman"/>
          <w:b/>
          <w:color w:val="auto"/>
          <w:spacing w:val="-4"/>
          <w:sz w:val="28"/>
          <w:szCs w:val="28"/>
          <w:highlight w:val="none"/>
          <w:lang w:val="en-US" w:eastAsia="zh-CN"/>
        </w:rPr>
        <w:t>2025</w:t>
      </w:r>
      <w:r>
        <w:rPr>
          <w:rFonts w:hint="default" w:ascii="Times New Roman" w:hAnsi="Times New Roman" w:eastAsia="楷体_GB2312" w:cs="Times New Roman"/>
          <w:b/>
          <w:color w:val="auto"/>
          <w:spacing w:val="-4"/>
          <w:sz w:val="28"/>
          <w:szCs w:val="28"/>
          <w:highlight w:val="none"/>
          <w:lang w:val="en-US" w:eastAsia="zh-CN"/>
        </w:rPr>
        <w:t>年度政府债券发行使用情况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2025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发行政府债券</w:t>
      </w:r>
      <w:r>
        <w:rPr>
          <w:rFonts w:hint="eastAsia" w:eastAsia="仿宋_GB2312" w:cs="Times New Roman"/>
          <w:color w:val="auto"/>
          <w:sz w:val="28"/>
          <w:szCs w:val="28"/>
          <w:highlight w:val="none"/>
          <w:lang w:val="en-US" w:eastAsia="zh-CN"/>
        </w:rPr>
        <w:t>33.32</w:t>
      </w:r>
      <w:r>
        <w:rPr>
          <w:rFonts w:hint="default" w:ascii="Times New Roman" w:hAnsi="Times New Roman" w:eastAsia="仿宋_GB2312" w:cs="Times New Roman"/>
          <w:color w:val="auto"/>
          <w:sz w:val="28"/>
          <w:szCs w:val="28"/>
          <w:highlight w:val="none"/>
          <w:lang w:val="en-US" w:eastAsia="zh-CN"/>
        </w:rPr>
        <w:t>亿元（新增债券</w:t>
      </w:r>
      <w:r>
        <w:rPr>
          <w:rFonts w:hint="eastAsia" w:eastAsia="仿宋_GB2312" w:cs="Times New Roman"/>
          <w:color w:val="auto"/>
          <w:sz w:val="28"/>
          <w:szCs w:val="28"/>
          <w:highlight w:val="none"/>
          <w:lang w:val="en-US" w:eastAsia="zh-CN"/>
        </w:rPr>
        <w:t>31.37</w:t>
      </w:r>
      <w:r>
        <w:rPr>
          <w:rFonts w:hint="default" w:ascii="Times New Roman" w:hAnsi="Times New Roman" w:eastAsia="仿宋_GB2312" w:cs="Times New Roman"/>
          <w:color w:val="auto"/>
          <w:sz w:val="28"/>
          <w:szCs w:val="28"/>
          <w:highlight w:val="none"/>
          <w:lang w:val="en-US" w:eastAsia="zh-CN"/>
        </w:rPr>
        <w:t>亿元、再融资债券</w:t>
      </w:r>
      <w:r>
        <w:rPr>
          <w:rFonts w:hint="eastAsia" w:eastAsia="仿宋_GB2312" w:cs="Times New Roman"/>
          <w:color w:val="auto"/>
          <w:sz w:val="28"/>
          <w:szCs w:val="28"/>
          <w:highlight w:val="none"/>
          <w:lang w:val="en-US" w:eastAsia="zh-CN"/>
        </w:rPr>
        <w:t>1.95</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（一）新增一般债券发行使用情况。</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发行新增一般债券</w:t>
      </w:r>
      <w:r>
        <w:rPr>
          <w:rFonts w:hint="eastAsia" w:eastAsia="仿宋_GB2312" w:cs="Times New Roman"/>
          <w:color w:val="auto"/>
          <w:sz w:val="28"/>
          <w:szCs w:val="28"/>
          <w:highlight w:val="none"/>
          <w:lang w:val="en-US" w:eastAsia="zh-CN"/>
        </w:rPr>
        <w:t>3.80</w:t>
      </w:r>
      <w:r>
        <w:rPr>
          <w:rFonts w:hint="default" w:ascii="Times New Roman" w:hAnsi="Times New Roman" w:eastAsia="仿宋_GB2312" w:cs="Times New Roman"/>
          <w:color w:val="auto"/>
          <w:sz w:val="28"/>
          <w:szCs w:val="28"/>
          <w:highlight w:val="none"/>
          <w:lang w:val="en-US" w:eastAsia="zh-CN"/>
        </w:rPr>
        <w:t>亿元。上述债券资金主要</w:t>
      </w:r>
      <w:r>
        <w:rPr>
          <w:rFonts w:hint="eastAsia" w:eastAsia="仿宋_GB2312" w:cs="Times New Roman"/>
          <w:color w:val="auto"/>
          <w:sz w:val="28"/>
          <w:szCs w:val="28"/>
          <w:highlight w:val="none"/>
          <w:lang w:val="en-US" w:eastAsia="zh-CN"/>
        </w:rPr>
        <w:t>用于其他社会事业、城市公共空间升级及其他城市更新基础设施建设</w:t>
      </w:r>
      <w:r>
        <w:rPr>
          <w:rFonts w:hint="default" w:ascii="Times New Roman" w:hAnsi="Times New Roman" w:eastAsia="仿宋_GB2312" w:cs="Times New Roman"/>
          <w:color w:val="auto"/>
          <w:sz w:val="28"/>
          <w:szCs w:val="28"/>
          <w:highlight w:val="none"/>
          <w:lang w:val="en-US" w:eastAsia="zh-CN"/>
        </w:rPr>
        <w:t>等领域（详见表</w:t>
      </w:r>
      <w:r>
        <w:rPr>
          <w:rFonts w:hint="eastAsia" w:eastAsia="仿宋_GB2312" w:cs="Times New Roman"/>
          <w:color w:val="auto"/>
          <w:sz w:val="28"/>
          <w:szCs w:val="28"/>
          <w:highlight w:val="none"/>
          <w:lang w:val="en-US" w:eastAsia="zh-CN"/>
        </w:rPr>
        <w:t>31</w:t>
      </w:r>
      <w:r>
        <w:rPr>
          <w:rFonts w:hint="default" w:ascii="Times New Roman" w:hAnsi="Times New Roman" w:eastAsia="仿宋_GB2312" w:cs="Times New Roman"/>
          <w:color w:val="auto"/>
          <w:sz w:val="28"/>
          <w:szCs w:val="28"/>
          <w:highlight w:val="none"/>
          <w:lang w:val="en-US" w:eastAsia="zh-CN"/>
        </w:rPr>
        <w:t>）。债券期限分别是</w:t>
      </w:r>
      <w:r>
        <w:rPr>
          <w:rFonts w:hint="eastAsia" w:eastAsia="仿宋_GB2312" w:cs="Times New Roman"/>
          <w:color w:val="auto"/>
          <w:sz w:val="28"/>
          <w:szCs w:val="28"/>
          <w:highlight w:val="none"/>
          <w:lang w:val="en-US" w:eastAsia="zh-CN"/>
        </w:rPr>
        <w:t>7</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10、15</w:t>
      </w:r>
      <w:r>
        <w:rPr>
          <w:rFonts w:hint="default" w:ascii="Times New Roman" w:hAnsi="Times New Roman" w:eastAsia="仿宋_GB2312" w:cs="Times New Roman"/>
          <w:color w:val="auto"/>
          <w:sz w:val="28"/>
          <w:szCs w:val="28"/>
          <w:highlight w:val="none"/>
          <w:lang w:val="en-US" w:eastAsia="zh-CN"/>
        </w:rPr>
        <w:t>年期，债券平均利率为</w:t>
      </w:r>
      <w:r>
        <w:rPr>
          <w:rFonts w:hint="eastAsia" w:eastAsia="仿宋_GB2312" w:cs="Times New Roman"/>
          <w:color w:val="auto"/>
          <w:sz w:val="28"/>
          <w:szCs w:val="28"/>
          <w:highlight w:val="none"/>
          <w:lang w:val="en-US" w:eastAsia="zh-CN"/>
        </w:rPr>
        <w:t>1.8</w:t>
      </w:r>
      <w:r>
        <w:rPr>
          <w:rFonts w:hint="default" w:ascii="Times New Roman" w:hAnsi="Times New Roman" w:eastAsia="仿宋_GB2312" w:cs="Times New Roman"/>
          <w:color w:val="auto"/>
          <w:sz w:val="28"/>
          <w:szCs w:val="28"/>
          <w:highlight w:val="none"/>
          <w:lang w:val="en-US" w:eastAsia="zh-CN"/>
        </w:rPr>
        <w:t>%，债券还本付息通过一般公共预算收入偿还。</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（二）新增专项债券发行使用情况。</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发行新增专项债券</w:t>
      </w:r>
      <w:r>
        <w:rPr>
          <w:rFonts w:hint="eastAsia" w:eastAsia="仿宋_GB2312" w:cs="Times New Roman"/>
          <w:color w:val="auto"/>
          <w:sz w:val="28"/>
          <w:szCs w:val="28"/>
          <w:highlight w:val="none"/>
          <w:lang w:val="en-US" w:eastAsia="zh-CN"/>
        </w:rPr>
        <w:t>27.57</w:t>
      </w:r>
      <w:r>
        <w:rPr>
          <w:rFonts w:hint="default" w:ascii="Times New Roman" w:hAnsi="Times New Roman" w:eastAsia="仿宋_GB2312" w:cs="Times New Roman"/>
          <w:color w:val="auto"/>
          <w:sz w:val="28"/>
          <w:szCs w:val="28"/>
          <w:highlight w:val="none"/>
          <w:lang w:val="en-US" w:eastAsia="zh-CN"/>
        </w:rPr>
        <w:t>亿元。上述债券资金主要用于</w:t>
      </w:r>
      <w:r>
        <w:rPr>
          <w:rFonts w:hint="eastAsia" w:eastAsia="仿宋_GB2312" w:cs="Times New Roman"/>
          <w:color w:val="auto"/>
          <w:sz w:val="28"/>
          <w:szCs w:val="28"/>
          <w:highlight w:val="none"/>
          <w:lang w:val="en-US" w:eastAsia="zh-CN"/>
        </w:rPr>
        <w:t>水利、产业园区基础设施、收购存量闲置土地、供排水、供热、老旧小区改造、城镇污水垃圾收集处理、农业、地下管线管廊</w:t>
      </w:r>
      <w:r>
        <w:rPr>
          <w:rFonts w:hint="default" w:ascii="Times New Roman" w:hAnsi="Times New Roman" w:eastAsia="仿宋_GB2312" w:cs="Times New Roman"/>
          <w:color w:val="auto"/>
          <w:sz w:val="28"/>
          <w:szCs w:val="28"/>
          <w:highlight w:val="none"/>
          <w:lang w:val="en-US" w:eastAsia="zh-CN"/>
        </w:rPr>
        <w:t>等重点领域（</w:t>
      </w:r>
      <w:r>
        <w:rPr>
          <w:rFonts w:hint="eastAsia" w:ascii="仿宋_GB2312" w:hAnsi="仿宋_GB2312" w:eastAsia="仿宋_GB2312" w:cs="仿宋_GB2312"/>
          <w:color w:val="auto"/>
          <w:sz w:val="28"/>
          <w:szCs w:val="28"/>
          <w:highlight w:val="none"/>
          <w:lang w:val="en-US" w:eastAsia="zh-CN"/>
        </w:rPr>
        <w:t>详见表31</w:t>
      </w:r>
      <w:r>
        <w:rPr>
          <w:rFonts w:hint="default" w:ascii="Times New Roman" w:hAnsi="Times New Roman" w:eastAsia="仿宋_GB2312" w:cs="Times New Roman"/>
          <w:color w:val="auto"/>
          <w:sz w:val="28"/>
          <w:szCs w:val="28"/>
          <w:highlight w:val="none"/>
          <w:lang w:val="en-US" w:eastAsia="zh-CN"/>
        </w:rPr>
        <w:t>）。债券期限分别是</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10、15、30</w:t>
      </w:r>
      <w:r>
        <w:rPr>
          <w:rFonts w:hint="default" w:ascii="Times New Roman" w:hAnsi="Times New Roman" w:eastAsia="仿宋_GB2312" w:cs="Times New Roman"/>
          <w:color w:val="auto"/>
          <w:sz w:val="28"/>
          <w:szCs w:val="28"/>
          <w:highlight w:val="none"/>
          <w:lang w:val="en-US" w:eastAsia="zh-CN"/>
        </w:rPr>
        <w:t>年期，债券平均利率为</w:t>
      </w:r>
      <w:r>
        <w:rPr>
          <w:rFonts w:hint="eastAsia"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lang w:val="en-US" w:eastAsia="zh-CN"/>
        </w:rPr>
        <w:t>%，债券还本付息通过对应项目取得的政府性基金或专项收入等偿还。</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（三）再融资债券发行使用情况。</w:t>
      </w:r>
      <w:r>
        <w:rPr>
          <w:rFonts w:hint="default" w:ascii="Times New Roman" w:hAnsi="Times New Roman" w:eastAsia="仿宋_GB2312" w:cs="Times New Roman"/>
          <w:color w:val="auto"/>
          <w:sz w:val="28"/>
          <w:szCs w:val="28"/>
          <w:highlight w:val="none"/>
          <w:lang w:val="en-US" w:eastAsia="zh-CN"/>
        </w:rPr>
        <w:t>202</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发行再融资债券</w:t>
      </w:r>
      <w:r>
        <w:rPr>
          <w:rFonts w:hint="eastAsia" w:eastAsia="仿宋_GB2312" w:cs="Times New Roman"/>
          <w:color w:val="auto"/>
          <w:sz w:val="28"/>
          <w:szCs w:val="28"/>
          <w:highlight w:val="none"/>
          <w:lang w:val="en-US" w:eastAsia="zh-CN"/>
        </w:rPr>
        <w:t>1.95</w:t>
      </w:r>
      <w:r>
        <w:rPr>
          <w:rFonts w:hint="default" w:ascii="Times New Roman" w:hAnsi="Times New Roman" w:eastAsia="仿宋_GB2312" w:cs="Times New Roman"/>
          <w:color w:val="auto"/>
          <w:sz w:val="28"/>
          <w:szCs w:val="28"/>
          <w:highlight w:val="none"/>
          <w:lang w:val="en-US" w:eastAsia="zh-CN"/>
        </w:rPr>
        <w:t>亿元（再融资一般债券</w:t>
      </w:r>
      <w:r>
        <w:rPr>
          <w:rFonts w:hint="eastAsia" w:eastAsia="仿宋_GB2312" w:cs="Times New Roman"/>
          <w:color w:val="auto"/>
          <w:sz w:val="28"/>
          <w:szCs w:val="28"/>
          <w:highlight w:val="none"/>
          <w:lang w:val="en-US" w:eastAsia="zh-CN"/>
        </w:rPr>
        <w:t>1.95</w:t>
      </w:r>
      <w:r>
        <w:rPr>
          <w:rFonts w:hint="default" w:ascii="Times New Roman" w:hAnsi="Times New Roman" w:eastAsia="仿宋_GB2312" w:cs="Times New Roman"/>
          <w:color w:val="auto"/>
          <w:sz w:val="28"/>
          <w:szCs w:val="28"/>
          <w:highlight w:val="none"/>
          <w:lang w:val="en-US" w:eastAsia="zh-CN"/>
        </w:rPr>
        <w:t>亿元、再融资专项债券</w:t>
      </w:r>
      <w:r>
        <w:rPr>
          <w:rFonts w:hint="eastAsia"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亿元）。上述债券资金全部用于偿还到期政府债券本金，债券期限分别是</w:t>
      </w:r>
      <w:r>
        <w:rPr>
          <w:rFonts w:hint="eastAsia" w:eastAsia="仿宋_GB2312" w:cs="Times New Roman"/>
          <w:color w:val="auto"/>
          <w:sz w:val="28"/>
          <w:szCs w:val="28"/>
          <w:highlight w:val="none"/>
          <w:lang w:val="en-US" w:eastAsia="zh-CN"/>
        </w:rPr>
        <w:t>10</w:t>
      </w:r>
      <w:r>
        <w:rPr>
          <w:rFonts w:hint="default" w:ascii="Times New Roman" w:hAnsi="Times New Roman" w:eastAsia="仿宋_GB2312" w:cs="Times New Roman"/>
          <w:color w:val="auto"/>
          <w:sz w:val="28"/>
          <w:szCs w:val="28"/>
          <w:highlight w:val="none"/>
          <w:lang w:val="en-US" w:eastAsia="zh-CN"/>
        </w:rPr>
        <w:t>年期，债券平均利率为</w:t>
      </w:r>
      <w:r>
        <w:rPr>
          <w:rFonts w:hint="eastAsia" w:eastAsia="仿宋_GB2312" w:cs="Times New Roman"/>
          <w:color w:val="auto"/>
          <w:sz w:val="28"/>
          <w:szCs w:val="28"/>
          <w:highlight w:val="none"/>
          <w:lang w:val="en-US" w:eastAsia="zh-CN"/>
        </w:rPr>
        <w:t>1.92</w:t>
      </w:r>
      <w:r>
        <w:rPr>
          <w:rFonts w:hint="default" w:ascii="Times New Roman" w:hAnsi="Times New Roman" w:eastAsia="仿宋_GB2312" w:cs="Times New Roman"/>
          <w:color w:val="auto"/>
          <w:sz w:val="28"/>
          <w:szCs w:val="28"/>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46" w:firstLineChars="200"/>
        <w:jc w:val="both"/>
        <w:textAlignment w:val="auto"/>
        <w:outlineLvl w:val="9"/>
        <w:rPr>
          <w:rFonts w:hint="default" w:ascii="Times New Roman" w:hAnsi="Times New Roman" w:eastAsia="楷体_GB2312" w:cs="Times New Roman"/>
          <w:b/>
          <w:color w:val="auto"/>
          <w:spacing w:val="-4"/>
          <w:sz w:val="28"/>
          <w:szCs w:val="28"/>
          <w:highlight w:val="none"/>
          <w:lang w:val="en-US" w:eastAsia="zh-CN"/>
        </w:rPr>
      </w:pPr>
      <w:r>
        <w:rPr>
          <w:rFonts w:hint="default" w:ascii="Times New Roman" w:hAnsi="Times New Roman" w:eastAsia="楷体_GB2312" w:cs="Times New Roman"/>
          <w:b/>
          <w:color w:val="auto"/>
          <w:spacing w:val="-4"/>
          <w:sz w:val="28"/>
          <w:szCs w:val="28"/>
          <w:highlight w:val="none"/>
          <w:lang w:val="en-US" w:eastAsia="zh-CN"/>
        </w:rPr>
        <w:t>四、</w:t>
      </w:r>
      <w:r>
        <w:rPr>
          <w:rFonts w:hint="eastAsia" w:eastAsia="楷体_GB2312" w:cs="Times New Roman"/>
          <w:b/>
          <w:color w:val="auto"/>
          <w:spacing w:val="-4"/>
          <w:sz w:val="28"/>
          <w:szCs w:val="28"/>
          <w:highlight w:val="none"/>
          <w:lang w:val="en-US" w:eastAsia="zh-CN"/>
        </w:rPr>
        <w:t>2025</w:t>
      </w:r>
      <w:r>
        <w:rPr>
          <w:rFonts w:hint="default" w:ascii="Times New Roman" w:hAnsi="Times New Roman" w:eastAsia="楷体_GB2312" w:cs="Times New Roman"/>
          <w:b/>
          <w:color w:val="auto"/>
          <w:spacing w:val="-4"/>
          <w:sz w:val="28"/>
          <w:szCs w:val="28"/>
          <w:highlight w:val="none"/>
          <w:lang w:val="en-US" w:eastAsia="zh-CN"/>
        </w:rPr>
        <w:t>年度政府债券还本付息情况</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2025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政府债券还本付息</w:t>
      </w:r>
      <w:r>
        <w:rPr>
          <w:rFonts w:hint="eastAsia" w:eastAsia="仿宋_GB2312" w:cs="Times New Roman"/>
          <w:color w:val="auto"/>
          <w:sz w:val="28"/>
          <w:szCs w:val="28"/>
          <w:highlight w:val="none"/>
          <w:lang w:val="en-US" w:eastAsia="zh-CN"/>
        </w:rPr>
        <w:t>4.51</w:t>
      </w:r>
      <w:r>
        <w:rPr>
          <w:rFonts w:hint="default" w:ascii="Times New Roman" w:hAnsi="Times New Roman" w:eastAsia="仿宋_GB2312" w:cs="Times New Roman"/>
          <w:color w:val="auto"/>
          <w:sz w:val="28"/>
          <w:szCs w:val="28"/>
          <w:highlight w:val="none"/>
          <w:lang w:val="en-US" w:eastAsia="zh-CN"/>
        </w:rPr>
        <w:t>亿元（本金</w:t>
      </w:r>
      <w:r>
        <w:rPr>
          <w:rFonts w:hint="eastAsia" w:eastAsia="仿宋_GB2312" w:cs="Times New Roman"/>
          <w:color w:val="auto"/>
          <w:sz w:val="28"/>
          <w:szCs w:val="28"/>
          <w:highlight w:val="none"/>
          <w:lang w:val="en-US" w:eastAsia="zh-CN"/>
        </w:rPr>
        <w:t>1.15</w:t>
      </w:r>
      <w:r>
        <w:rPr>
          <w:rFonts w:hint="default" w:ascii="Times New Roman" w:hAnsi="Times New Roman" w:eastAsia="仿宋_GB2312" w:cs="Times New Roman"/>
          <w:color w:val="auto"/>
          <w:sz w:val="28"/>
          <w:szCs w:val="28"/>
          <w:highlight w:val="none"/>
          <w:lang w:val="en-US" w:eastAsia="zh-CN"/>
        </w:rPr>
        <w:t>亿元，财政预算安排还本</w:t>
      </w:r>
      <w:r>
        <w:rPr>
          <w:rFonts w:hint="eastAsia" w:eastAsia="仿宋_GB2312" w:cs="Times New Roman"/>
          <w:color w:val="auto"/>
          <w:sz w:val="28"/>
          <w:szCs w:val="28"/>
          <w:highlight w:val="none"/>
          <w:lang w:val="en-US" w:eastAsia="zh-CN"/>
        </w:rPr>
        <w:t>0.6</w:t>
      </w:r>
      <w:r>
        <w:rPr>
          <w:rFonts w:hint="default" w:ascii="Times New Roman" w:hAnsi="Times New Roman" w:eastAsia="仿宋_GB2312" w:cs="Times New Roman"/>
          <w:color w:val="auto"/>
          <w:sz w:val="28"/>
          <w:szCs w:val="28"/>
          <w:highlight w:val="none"/>
          <w:lang w:val="en-US" w:eastAsia="zh-CN"/>
        </w:rPr>
        <w:t>亿元，再融资债券还本</w:t>
      </w:r>
      <w:r>
        <w:rPr>
          <w:rFonts w:hint="eastAsia" w:eastAsia="仿宋_GB2312" w:cs="Times New Roman"/>
          <w:color w:val="auto"/>
          <w:sz w:val="28"/>
          <w:szCs w:val="28"/>
          <w:highlight w:val="none"/>
          <w:lang w:val="en-US" w:eastAsia="zh-CN"/>
        </w:rPr>
        <w:t>0.55</w:t>
      </w:r>
      <w:r>
        <w:rPr>
          <w:rFonts w:hint="default" w:ascii="Times New Roman" w:hAnsi="Times New Roman" w:eastAsia="仿宋_GB2312" w:cs="Times New Roman"/>
          <w:color w:val="auto"/>
          <w:sz w:val="28"/>
          <w:szCs w:val="28"/>
          <w:highlight w:val="none"/>
          <w:lang w:val="en-US" w:eastAsia="zh-CN"/>
        </w:rPr>
        <w:t>亿元；财政预算安排付息</w:t>
      </w:r>
      <w:r>
        <w:rPr>
          <w:rFonts w:hint="eastAsia" w:eastAsia="仿宋_GB2312" w:cs="Times New Roman"/>
          <w:color w:val="auto"/>
          <w:sz w:val="28"/>
          <w:szCs w:val="28"/>
          <w:highlight w:val="none"/>
          <w:lang w:val="en-US" w:eastAsia="zh-CN"/>
        </w:rPr>
        <w:t>3.36</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（一）一般债券还本付息情况。</w:t>
      </w:r>
      <w:r>
        <w:rPr>
          <w:rFonts w:hint="eastAsia" w:eastAsia="仿宋_GB2312" w:cs="Times New Roman"/>
          <w:color w:val="auto"/>
          <w:sz w:val="28"/>
          <w:szCs w:val="28"/>
          <w:highlight w:val="none"/>
          <w:lang w:val="en-US" w:eastAsia="zh-CN"/>
        </w:rPr>
        <w:t>2025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政府一般债券还本付息</w:t>
      </w:r>
      <w:r>
        <w:rPr>
          <w:rFonts w:hint="eastAsia" w:eastAsia="仿宋_GB2312" w:cs="Times New Roman"/>
          <w:color w:val="auto"/>
          <w:sz w:val="28"/>
          <w:szCs w:val="28"/>
          <w:highlight w:val="none"/>
          <w:lang w:val="en-US" w:eastAsia="zh-CN"/>
        </w:rPr>
        <w:t>1.73</w:t>
      </w:r>
      <w:r>
        <w:rPr>
          <w:rFonts w:hint="default" w:ascii="Times New Roman" w:hAnsi="Times New Roman" w:eastAsia="仿宋_GB2312" w:cs="Times New Roman"/>
          <w:color w:val="auto"/>
          <w:sz w:val="28"/>
          <w:szCs w:val="28"/>
          <w:highlight w:val="none"/>
          <w:lang w:val="en-US" w:eastAsia="zh-CN"/>
        </w:rPr>
        <w:t>亿元（本金</w:t>
      </w:r>
      <w:r>
        <w:rPr>
          <w:rFonts w:hint="eastAsia" w:eastAsia="仿宋_GB2312" w:cs="Times New Roman"/>
          <w:color w:val="auto"/>
          <w:sz w:val="28"/>
          <w:szCs w:val="28"/>
          <w:highlight w:val="none"/>
          <w:lang w:val="en-US" w:eastAsia="zh-CN"/>
        </w:rPr>
        <w:t>0.95</w:t>
      </w:r>
      <w:r>
        <w:rPr>
          <w:rFonts w:hint="default" w:ascii="Times New Roman" w:hAnsi="Times New Roman" w:eastAsia="仿宋_GB2312" w:cs="Times New Roman"/>
          <w:color w:val="auto"/>
          <w:sz w:val="28"/>
          <w:szCs w:val="28"/>
          <w:highlight w:val="none"/>
          <w:lang w:val="en-US" w:eastAsia="zh-CN"/>
        </w:rPr>
        <w:t>亿元，财政预算安排还本</w:t>
      </w:r>
      <w:r>
        <w:rPr>
          <w:rFonts w:hint="eastAsia" w:eastAsia="仿宋_GB2312" w:cs="Times New Roman"/>
          <w:color w:val="auto"/>
          <w:sz w:val="28"/>
          <w:szCs w:val="28"/>
          <w:highlight w:val="none"/>
          <w:lang w:val="en-US" w:eastAsia="zh-CN"/>
        </w:rPr>
        <w:t>0.4</w:t>
      </w:r>
      <w:r>
        <w:rPr>
          <w:rFonts w:hint="default" w:ascii="Times New Roman" w:hAnsi="Times New Roman" w:eastAsia="仿宋_GB2312" w:cs="Times New Roman"/>
          <w:color w:val="auto"/>
          <w:sz w:val="28"/>
          <w:szCs w:val="28"/>
          <w:highlight w:val="none"/>
          <w:lang w:val="en-US" w:eastAsia="zh-CN"/>
        </w:rPr>
        <w:t>亿元，再融资债券还本</w:t>
      </w:r>
      <w:r>
        <w:rPr>
          <w:rFonts w:hint="eastAsia" w:eastAsia="仿宋_GB2312" w:cs="Times New Roman"/>
          <w:color w:val="auto"/>
          <w:sz w:val="28"/>
          <w:szCs w:val="28"/>
          <w:highlight w:val="none"/>
          <w:lang w:val="en-US" w:eastAsia="zh-CN"/>
        </w:rPr>
        <w:t>0.55</w:t>
      </w:r>
      <w:r>
        <w:rPr>
          <w:rFonts w:hint="default" w:ascii="Times New Roman" w:hAnsi="Times New Roman" w:eastAsia="仿宋_GB2312" w:cs="Times New Roman"/>
          <w:color w:val="auto"/>
          <w:sz w:val="28"/>
          <w:szCs w:val="28"/>
          <w:highlight w:val="none"/>
          <w:lang w:val="en-US" w:eastAsia="zh-CN"/>
        </w:rPr>
        <w:t>亿元，财政预算安排付息</w:t>
      </w:r>
      <w:r>
        <w:rPr>
          <w:rFonts w:hint="eastAsia" w:eastAsia="仿宋_GB2312" w:cs="Times New Roman"/>
          <w:color w:val="auto"/>
          <w:sz w:val="28"/>
          <w:szCs w:val="28"/>
          <w:highlight w:val="none"/>
          <w:lang w:val="en-US" w:eastAsia="zh-CN"/>
        </w:rPr>
        <w:t>0.78</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（二）专项债券还本付息情况。</w:t>
      </w:r>
      <w:r>
        <w:rPr>
          <w:rFonts w:hint="eastAsia" w:eastAsia="仿宋_GB2312" w:cs="Times New Roman"/>
          <w:color w:val="auto"/>
          <w:sz w:val="28"/>
          <w:szCs w:val="28"/>
          <w:highlight w:val="none"/>
          <w:lang w:val="en-US" w:eastAsia="zh-CN"/>
        </w:rPr>
        <w:t>2025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政府专项债券还本付息</w:t>
      </w:r>
      <w:r>
        <w:rPr>
          <w:rFonts w:hint="eastAsia" w:eastAsia="仿宋_GB2312" w:cs="Times New Roman"/>
          <w:color w:val="auto"/>
          <w:sz w:val="28"/>
          <w:szCs w:val="28"/>
          <w:highlight w:val="none"/>
          <w:lang w:val="en-US" w:eastAsia="zh-CN"/>
        </w:rPr>
        <w:t>2.78</w:t>
      </w:r>
      <w:r>
        <w:rPr>
          <w:rFonts w:hint="default" w:ascii="Times New Roman" w:hAnsi="Times New Roman" w:eastAsia="仿宋_GB2312" w:cs="Times New Roman"/>
          <w:color w:val="auto"/>
          <w:sz w:val="28"/>
          <w:szCs w:val="28"/>
          <w:highlight w:val="none"/>
          <w:lang w:val="en-US" w:eastAsia="zh-CN"/>
        </w:rPr>
        <w:t>亿元（本金</w:t>
      </w:r>
      <w:r>
        <w:rPr>
          <w:rFonts w:hint="eastAsia" w:eastAsia="仿宋_GB2312" w:cs="Times New Roman"/>
          <w:color w:val="auto"/>
          <w:sz w:val="28"/>
          <w:szCs w:val="28"/>
          <w:highlight w:val="none"/>
          <w:lang w:val="en-US" w:eastAsia="zh-CN"/>
        </w:rPr>
        <w:t>0.2</w:t>
      </w:r>
      <w:r>
        <w:rPr>
          <w:rFonts w:hint="default" w:ascii="Times New Roman" w:hAnsi="Times New Roman" w:eastAsia="仿宋_GB2312" w:cs="Times New Roman"/>
          <w:color w:val="auto"/>
          <w:sz w:val="28"/>
          <w:szCs w:val="28"/>
          <w:highlight w:val="none"/>
          <w:lang w:val="en-US" w:eastAsia="zh-CN"/>
        </w:rPr>
        <w:t>亿元，财政预算安排还本</w:t>
      </w:r>
      <w:r>
        <w:rPr>
          <w:rFonts w:hint="eastAsia" w:eastAsia="仿宋_GB2312" w:cs="Times New Roman"/>
          <w:color w:val="auto"/>
          <w:sz w:val="28"/>
          <w:szCs w:val="28"/>
          <w:highlight w:val="none"/>
          <w:lang w:val="en-US" w:eastAsia="zh-CN"/>
        </w:rPr>
        <w:t>0.2</w:t>
      </w:r>
      <w:r>
        <w:rPr>
          <w:rFonts w:hint="default" w:ascii="Times New Roman" w:hAnsi="Times New Roman" w:eastAsia="仿宋_GB2312" w:cs="Times New Roman"/>
          <w:color w:val="auto"/>
          <w:sz w:val="28"/>
          <w:szCs w:val="28"/>
          <w:highlight w:val="none"/>
          <w:lang w:val="en-US" w:eastAsia="zh-CN"/>
        </w:rPr>
        <w:t>亿元</w:t>
      </w:r>
      <w:r>
        <w:rPr>
          <w:rFonts w:hint="eastAsia"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再融资债券还本</w:t>
      </w:r>
      <w:r>
        <w:rPr>
          <w:rFonts w:hint="eastAsia"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亿元；财政预算安排付息</w:t>
      </w:r>
      <w:r>
        <w:rPr>
          <w:rFonts w:hint="eastAsia" w:eastAsia="仿宋_GB2312" w:cs="Times New Roman"/>
          <w:color w:val="auto"/>
          <w:sz w:val="28"/>
          <w:szCs w:val="28"/>
          <w:highlight w:val="none"/>
          <w:lang w:val="en-US" w:eastAsia="zh-CN"/>
        </w:rPr>
        <w:t>2.58</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46" w:firstLineChars="200"/>
        <w:jc w:val="both"/>
        <w:textAlignment w:val="auto"/>
        <w:outlineLvl w:val="9"/>
        <w:rPr>
          <w:rFonts w:hint="eastAsia" w:ascii="Times New Roman" w:hAnsi="Times New Roman" w:eastAsia="楷体_GB2312" w:cs="Times New Roman"/>
          <w:b/>
          <w:color w:val="auto"/>
          <w:spacing w:val="-4"/>
          <w:sz w:val="28"/>
          <w:szCs w:val="28"/>
          <w:highlight w:val="none"/>
          <w:lang w:val="en-US" w:eastAsia="zh-CN"/>
        </w:rPr>
      </w:pPr>
      <w:r>
        <w:rPr>
          <w:rFonts w:hint="eastAsia" w:ascii="Times New Roman" w:hAnsi="Times New Roman" w:eastAsia="楷体_GB2312" w:cs="Times New Roman"/>
          <w:b/>
          <w:color w:val="auto"/>
          <w:spacing w:val="-4"/>
          <w:sz w:val="28"/>
          <w:szCs w:val="28"/>
          <w:highlight w:val="none"/>
          <w:lang w:val="en-US" w:eastAsia="zh-CN"/>
        </w:rPr>
        <w:t>五</w:t>
      </w:r>
      <w:r>
        <w:rPr>
          <w:rFonts w:hint="default" w:ascii="Times New Roman" w:hAnsi="Times New Roman" w:eastAsia="楷体_GB2312" w:cs="Times New Roman"/>
          <w:b/>
          <w:color w:val="auto"/>
          <w:spacing w:val="-4"/>
          <w:sz w:val="28"/>
          <w:szCs w:val="28"/>
          <w:highlight w:val="none"/>
          <w:lang w:val="en-US" w:eastAsia="zh-CN"/>
        </w:rPr>
        <w:t>、</w:t>
      </w:r>
      <w:r>
        <w:rPr>
          <w:rFonts w:hint="eastAsia" w:eastAsia="楷体_GB2312" w:cs="Times New Roman"/>
          <w:b/>
          <w:color w:val="auto"/>
          <w:spacing w:val="-4"/>
          <w:sz w:val="28"/>
          <w:szCs w:val="28"/>
          <w:highlight w:val="none"/>
          <w:lang w:val="en-US" w:eastAsia="zh-CN"/>
        </w:rPr>
        <w:t>2026</w:t>
      </w:r>
      <w:r>
        <w:rPr>
          <w:rFonts w:hint="default" w:ascii="Times New Roman" w:hAnsi="Times New Roman" w:eastAsia="楷体_GB2312" w:cs="Times New Roman"/>
          <w:b/>
          <w:color w:val="auto"/>
          <w:spacing w:val="-4"/>
          <w:sz w:val="28"/>
          <w:szCs w:val="28"/>
          <w:highlight w:val="none"/>
          <w:lang w:val="en-US" w:eastAsia="zh-CN"/>
        </w:rPr>
        <w:t>年度政府债券还本付息情况</w:t>
      </w:r>
      <w:r>
        <w:rPr>
          <w:rFonts w:hint="eastAsia" w:ascii="Times New Roman" w:hAnsi="Times New Roman" w:eastAsia="楷体_GB2312" w:cs="Times New Roman"/>
          <w:b/>
          <w:color w:val="auto"/>
          <w:spacing w:val="-4"/>
          <w:sz w:val="28"/>
          <w:szCs w:val="28"/>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color w:val="auto"/>
          <w:sz w:val="28"/>
          <w:szCs w:val="28"/>
          <w:highlight w:val="none"/>
          <w:lang w:val="en-US" w:eastAsia="zh-CN"/>
        </w:rPr>
        <w:t>2026</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政府债券还本付息</w:t>
      </w:r>
      <w:r>
        <w:rPr>
          <w:rFonts w:hint="eastAsia" w:eastAsia="仿宋_GB2312" w:cs="Times New Roman"/>
          <w:color w:val="auto"/>
          <w:sz w:val="28"/>
          <w:szCs w:val="28"/>
          <w:highlight w:val="none"/>
          <w:lang w:val="en-US" w:eastAsia="zh-CN"/>
        </w:rPr>
        <w:t>5.44</w:t>
      </w:r>
      <w:r>
        <w:rPr>
          <w:rFonts w:hint="default" w:ascii="Times New Roman" w:hAnsi="Times New Roman" w:eastAsia="仿宋_GB2312" w:cs="Times New Roman"/>
          <w:color w:val="auto"/>
          <w:sz w:val="28"/>
          <w:szCs w:val="28"/>
          <w:highlight w:val="none"/>
          <w:lang w:val="en-US" w:eastAsia="zh-CN"/>
        </w:rPr>
        <w:t>亿元（本金</w:t>
      </w:r>
      <w:r>
        <w:rPr>
          <w:rFonts w:hint="eastAsia" w:eastAsia="仿宋_GB2312" w:cs="Times New Roman"/>
          <w:color w:val="auto"/>
          <w:sz w:val="28"/>
          <w:szCs w:val="28"/>
          <w:highlight w:val="none"/>
          <w:lang w:val="en-US" w:eastAsia="zh-CN"/>
        </w:rPr>
        <w:t>1.54</w:t>
      </w:r>
      <w:r>
        <w:rPr>
          <w:rFonts w:hint="default" w:ascii="Times New Roman" w:hAnsi="Times New Roman" w:eastAsia="仿宋_GB2312" w:cs="Times New Roman"/>
          <w:color w:val="auto"/>
          <w:sz w:val="28"/>
          <w:szCs w:val="28"/>
          <w:highlight w:val="none"/>
          <w:lang w:val="en-US" w:eastAsia="zh-CN"/>
        </w:rPr>
        <w:t>亿元，财政预算安排还本</w:t>
      </w:r>
      <w:r>
        <w:rPr>
          <w:rFonts w:hint="eastAsia" w:eastAsia="仿宋_GB2312" w:cs="Times New Roman"/>
          <w:color w:val="auto"/>
          <w:sz w:val="28"/>
          <w:szCs w:val="28"/>
          <w:highlight w:val="none"/>
          <w:lang w:val="en-US" w:eastAsia="zh-CN"/>
        </w:rPr>
        <w:t>1.54</w:t>
      </w:r>
      <w:r>
        <w:rPr>
          <w:rFonts w:hint="default" w:ascii="Times New Roman" w:hAnsi="Times New Roman" w:eastAsia="仿宋_GB2312" w:cs="Times New Roman"/>
          <w:color w:val="auto"/>
          <w:sz w:val="28"/>
          <w:szCs w:val="28"/>
          <w:highlight w:val="none"/>
          <w:lang w:val="en-US" w:eastAsia="zh-CN"/>
        </w:rPr>
        <w:t>亿元</w:t>
      </w:r>
      <w:r>
        <w:rPr>
          <w:rFonts w:hint="eastAsia"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再融资债券还本</w:t>
      </w:r>
      <w:r>
        <w:rPr>
          <w:rFonts w:hint="eastAsia"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亿元；财政预算安排付息</w:t>
      </w:r>
      <w:r>
        <w:rPr>
          <w:rFonts w:hint="eastAsia" w:eastAsia="仿宋_GB2312" w:cs="Times New Roman"/>
          <w:color w:val="auto"/>
          <w:sz w:val="28"/>
          <w:szCs w:val="28"/>
          <w:highlight w:val="none"/>
          <w:lang w:val="en-US" w:eastAsia="zh-CN"/>
        </w:rPr>
        <w:t>3.9</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（一）一般债券还本付息情况。</w:t>
      </w:r>
      <w:r>
        <w:rPr>
          <w:rFonts w:hint="eastAsia" w:eastAsia="仿宋_GB2312" w:cs="Times New Roman"/>
          <w:color w:val="auto"/>
          <w:sz w:val="28"/>
          <w:szCs w:val="28"/>
          <w:highlight w:val="none"/>
          <w:lang w:val="en-US" w:eastAsia="zh-CN"/>
        </w:rPr>
        <w:t>2026</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政府一般债券还本付息</w:t>
      </w:r>
      <w:r>
        <w:rPr>
          <w:rFonts w:hint="eastAsia" w:eastAsia="仿宋_GB2312" w:cs="Times New Roman"/>
          <w:color w:val="auto"/>
          <w:sz w:val="28"/>
          <w:szCs w:val="28"/>
          <w:highlight w:val="none"/>
          <w:lang w:val="en-US" w:eastAsia="zh-CN"/>
        </w:rPr>
        <w:t>2.11</w:t>
      </w:r>
      <w:r>
        <w:rPr>
          <w:rFonts w:hint="default" w:ascii="Times New Roman" w:hAnsi="Times New Roman" w:eastAsia="仿宋_GB2312" w:cs="Times New Roman"/>
          <w:color w:val="auto"/>
          <w:sz w:val="28"/>
          <w:szCs w:val="28"/>
          <w:highlight w:val="none"/>
          <w:lang w:val="en-US" w:eastAsia="zh-CN"/>
        </w:rPr>
        <w:t>亿元（本金</w:t>
      </w:r>
      <w:r>
        <w:rPr>
          <w:rFonts w:hint="eastAsia" w:eastAsia="仿宋_GB2312" w:cs="Times New Roman"/>
          <w:color w:val="auto"/>
          <w:sz w:val="28"/>
          <w:szCs w:val="28"/>
          <w:highlight w:val="none"/>
          <w:lang w:val="en-US" w:eastAsia="zh-CN"/>
        </w:rPr>
        <w:t>1.27</w:t>
      </w:r>
      <w:r>
        <w:rPr>
          <w:rFonts w:hint="default" w:ascii="Times New Roman" w:hAnsi="Times New Roman" w:eastAsia="仿宋_GB2312" w:cs="Times New Roman"/>
          <w:color w:val="auto"/>
          <w:sz w:val="28"/>
          <w:szCs w:val="28"/>
          <w:highlight w:val="none"/>
          <w:lang w:val="en-US" w:eastAsia="zh-CN"/>
        </w:rPr>
        <w:t>亿元，财政预算安排还本</w:t>
      </w:r>
      <w:r>
        <w:rPr>
          <w:rFonts w:hint="eastAsia" w:eastAsia="仿宋_GB2312" w:cs="Times New Roman"/>
          <w:color w:val="auto"/>
          <w:sz w:val="28"/>
          <w:szCs w:val="28"/>
          <w:highlight w:val="none"/>
          <w:lang w:val="en-US" w:eastAsia="zh-CN"/>
        </w:rPr>
        <w:t>1.27</w:t>
      </w:r>
      <w:r>
        <w:rPr>
          <w:rFonts w:hint="default" w:ascii="Times New Roman" w:hAnsi="Times New Roman" w:eastAsia="仿宋_GB2312" w:cs="Times New Roman"/>
          <w:color w:val="auto"/>
          <w:sz w:val="28"/>
          <w:szCs w:val="28"/>
          <w:highlight w:val="none"/>
          <w:lang w:val="en-US" w:eastAsia="zh-CN"/>
        </w:rPr>
        <w:t>亿元</w:t>
      </w:r>
      <w:r>
        <w:rPr>
          <w:rFonts w:hint="eastAsia"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再融资债券还本</w:t>
      </w:r>
      <w:r>
        <w:rPr>
          <w:rFonts w:hint="eastAsia"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亿元</w:t>
      </w:r>
      <w:r>
        <w:rPr>
          <w:rFonts w:hint="eastAsia"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财政预算安排付息</w:t>
      </w:r>
      <w:r>
        <w:rPr>
          <w:rFonts w:hint="eastAsia" w:eastAsia="仿宋_GB2312" w:cs="Times New Roman"/>
          <w:color w:val="auto"/>
          <w:sz w:val="28"/>
          <w:szCs w:val="28"/>
          <w:highlight w:val="none"/>
          <w:lang w:val="en-US" w:eastAsia="zh-CN"/>
        </w:rPr>
        <w:t>0.84</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jc w:val="both"/>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bCs/>
          <w:color w:val="auto"/>
          <w:sz w:val="28"/>
          <w:szCs w:val="28"/>
          <w:highlight w:val="none"/>
          <w:lang w:val="en-US" w:eastAsia="zh-CN"/>
        </w:rPr>
        <w:t>（二）专项债券还本付息情况。</w:t>
      </w:r>
      <w:r>
        <w:rPr>
          <w:rFonts w:hint="eastAsia" w:eastAsia="仿宋_GB2312" w:cs="Times New Roman"/>
          <w:color w:val="auto"/>
          <w:sz w:val="28"/>
          <w:szCs w:val="28"/>
          <w:highlight w:val="none"/>
          <w:lang w:val="en-US" w:eastAsia="zh-CN"/>
        </w:rPr>
        <w:t>2026</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default" w:ascii="Times New Roman" w:hAnsi="Times New Roman" w:eastAsia="仿宋_GB2312" w:cs="Times New Roman"/>
          <w:color w:val="auto"/>
          <w:sz w:val="28"/>
          <w:szCs w:val="28"/>
          <w:highlight w:val="none"/>
          <w:lang w:val="en-US" w:eastAsia="zh-CN"/>
        </w:rPr>
        <w:t>政府专项债券还本付息</w:t>
      </w:r>
      <w:r>
        <w:rPr>
          <w:rFonts w:hint="eastAsia" w:eastAsia="仿宋_GB2312" w:cs="Times New Roman"/>
          <w:color w:val="auto"/>
          <w:sz w:val="28"/>
          <w:szCs w:val="28"/>
          <w:highlight w:val="none"/>
          <w:lang w:val="en-US" w:eastAsia="zh-CN"/>
        </w:rPr>
        <w:t>3.33</w:t>
      </w:r>
      <w:r>
        <w:rPr>
          <w:rFonts w:hint="default" w:ascii="Times New Roman" w:hAnsi="Times New Roman" w:eastAsia="仿宋_GB2312" w:cs="Times New Roman"/>
          <w:color w:val="auto"/>
          <w:sz w:val="28"/>
          <w:szCs w:val="28"/>
          <w:highlight w:val="none"/>
          <w:lang w:val="en-US" w:eastAsia="zh-CN"/>
        </w:rPr>
        <w:t>亿元（本金</w:t>
      </w:r>
      <w:r>
        <w:rPr>
          <w:rFonts w:hint="eastAsia" w:eastAsia="仿宋_GB2312" w:cs="Times New Roman"/>
          <w:color w:val="auto"/>
          <w:sz w:val="28"/>
          <w:szCs w:val="28"/>
          <w:highlight w:val="none"/>
          <w:lang w:val="en-US" w:eastAsia="zh-CN"/>
        </w:rPr>
        <w:t>0.27</w:t>
      </w:r>
      <w:r>
        <w:rPr>
          <w:rFonts w:hint="default" w:ascii="Times New Roman" w:hAnsi="Times New Roman" w:eastAsia="仿宋_GB2312" w:cs="Times New Roman"/>
          <w:color w:val="auto"/>
          <w:sz w:val="28"/>
          <w:szCs w:val="28"/>
          <w:highlight w:val="none"/>
          <w:lang w:val="en-US" w:eastAsia="zh-CN"/>
        </w:rPr>
        <w:t>亿元，财政预算安排还本</w:t>
      </w:r>
      <w:r>
        <w:rPr>
          <w:rFonts w:hint="eastAsia" w:eastAsia="仿宋_GB2312" w:cs="Times New Roman"/>
          <w:color w:val="auto"/>
          <w:sz w:val="28"/>
          <w:szCs w:val="28"/>
          <w:highlight w:val="none"/>
          <w:lang w:val="en-US" w:eastAsia="zh-CN"/>
        </w:rPr>
        <w:t>0.27</w:t>
      </w:r>
      <w:r>
        <w:rPr>
          <w:rFonts w:hint="default" w:ascii="Times New Roman" w:hAnsi="Times New Roman" w:eastAsia="仿宋_GB2312" w:cs="Times New Roman"/>
          <w:color w:val="auto"/>
          <w:sz w:val="28"/>
          <w:szCs w:val="28"/>
          <w:highlight w:val="none"/>
          <w:lang w:val="en-US" w:eastAsia="zh-CN"/>
        </w:rPr>
        <w:t>亿元</w:t>
      </w:r>
      <w:r>
        <w:rPr>
          <w:rFonts w:hint="eastAsia" w:eastAsia="仿宋_GB2312" w:cs="Times New Roman"/>
          <w:color w:val="auto"/>
          <w:sz w:val="28"/>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再融资债券还本</w:t>
      </w:r>
      <w:r>
        <w:rPr>
          <w:rFonts w:hint="eastAsia" w:eastAsia="仿宋_GB2312" w:cs="Times New Roman"/>
          <w:color w:val="auto"/>
          <w:sz w:val="28"/>
          <w:szCs w:val="28"/>
          <w:highlight w:val="none"/>
          <w:lang w:val="en-US" w:eastAsia="zh-CN"/>
        </w:rPr>
        <w:t>0</w:t>
      </w:r>
      <w:r>
        <w:rPr>
          <w:rFonts w:hint="default" w:ascii="Times New Roman" w:hAnsi="Times New Roman" w:eastAsia="仿宋_GB2312" w:cs="Times New Roman"/>
          <w:color w:val="auto"/>
          <w:sz w:val="28"/>
          <w:szCs w:val="28"/>
          <w:highlight w:val="none"/>
          <w:lang w:val="en-US" w:eastAsia="zh-CN"/>
        </w:rPr>
        <w:t>亿元；财政预算安排付息</w:t>
      </w:r>
      <w:r>
        <w:rPr>
          <w:rFonts w:hint="eastAsia" w:eastAsia="仿宋_GB2312" w:cs="Times New Roman"/>
          <w:color w:val="auto"/>
          <w:sz w:val="28"/>
          <w:szCs w:val="28"/>
          <w:highlight w:val="none"/>
          <w:lang w:val="en-US" w:eastAsia="zh-CN"/>
        </w:rPr>
        <w:t>3.06</w:t>
      </w:r>
      <w:r>
        <w:rPr>
          <w:rFonts w:hint="default" w:ascii="Times New Roman" w:hAnsi="Times New Roman" w:eastAsia="仿宋_GB2312" w:cs="Times New Roman"/>
          <w:color w:val="auto"/>
          <w:sz w:val="28"/>
          <w:szCs w:val="28"/>
          <w:highlight w:val="none"/>
          <w:lang w:val="en-US" w:eastAsia="zh-CN"/>
        </w:rPr>
        <w:t>亿元）。</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400" w:lineRule="exact"/>
        <w:ind w:right="0" w:rightChars="0" w:firstLine="546" w:firstLineChars="200"/>
        <w:jc w:val="both"/>
        <w:textAlignment w:val="auto"/>
        <w:outlineLvl w:val="9"/>
        <w:rPr>
          <w:rFonts w:hint="eastAsia" w:ascii="Times New Roman" w:hAnsi="Times New Roman" w:eastAsia="楷体_GB2312" w:cs="Times New Roman"/>
          <w:b/>
          <w:color w:val="auto"/>
          <w:spacing w:val="-4"/>
          <w:sz w:val="28"/>
          <w:szCs w:val="28"/>
          <w:highlight w:val="none"/>
          <w:lang w:val="en-US" w:eastAsia="zh-CN"/>
        </w:rPr>
      </w:pPr>
      <w:r>
        <w:rPr>
          <w:rFonts w:hint="eastAsia" w:ascii="Times New Roman" w:hAnsi="Times New Roman" w:eastAsia="楷体_GB2312" w:cs="Times New Roman"/>
          <w:b/>
          <w:color w:val="auto"/>
          <w:spacing w:val="-4"/>
          <w:sz w:val="28"/>
          <w:szCs w:val="28"/>
          <w:highlight w:val="none"/>
          <w:lang w:val="en-US" w:eastAsia="zh-CN"/>
        </w:rPr>
        <w:t>六、</w:t>
      </w:r>
      <w:r>
        <w:rPr>
          <w:rFonts w:hint="eastAsia" w:eastAsia="楷体_GB2312" w:cs="Times New Roman"/>
          <w:b/>
          <w:color w:val="auto"/>
          <w:spacing w:val="-4"/>
          <w:sz w:val="28"/>
          <w:szCs w:val="28"/>
          <w:highlight w:val="none"/>
          <w:lang w:val="en-US" w:eastAsia="zh-CN"/>
        </w:rPr>
        <w:t>2025</w:t>
      </w:r>
      <w:r>
        <w:rPr>
          <w:rFonts w:hint="eastAsia" w:ascii="Times New Roman" w:hAnsi="Times New Roman" w:eastAsia="楷体_GB2312" w:cs="Times New Roman"/>
          <w:b/>
          <w:color w:val="auto"/>
          <w:spacing w:val="-4"/>
          <w:sz w:val="28"/>
          <w:szCs w:val="28"/>
          <w:highlight w:val="none"/>
          <w:lang w:val="en-US" w:eastAsia="zh-CN"/>
        </w:rPr>
        <w:t>年度本级政府专项债务情况。</w:t>
      </w:r>
    </w:p>
    <w:p>
      <w:pPr>
        <w:keepNext w:val="0"/>
        <w:keepLines w:val="0"/>
        <w:pageBreakBefore w:val="0"/>
        <w:widowControl w:val="0"/>
        <w:kinsoku/>
        <w:wordWrap/>
        <w:overflowPunct/>
        <w:topLinePunct w:val="0"/>
        <w:bidi w:val="0"/>
        <w:adjustRightInd/>
        <w:spacing w:line="400" w:lineRule="exact"/>
        <w:ind w:firstLine="560" w:firstLineChars="200"/>
        <w:jc w:val="both"/>
        <w:textAlignment w:val="auto"/>
        <w:outlineLvl w:val="9"/>
        <w:rPr>
          <w:rFonts w:hint="default"/>
          <w:lang w:val="en-US" w:eastAsia="zh-Hans"/>
        </w:rPr>
      </w:pPr>
      <w:r>
        <w:rPr>
          <w:rFonts w:hint="eastAsia" w:eastAsia="仿宋_GB2312" w:cs="Times New Roman"/>
          <w:color w:val="auto"/>
          <w:sz w:val="28"/>
          <w:szCs w:val="28"/>
          <w:highlight w:val="none"/>
          <w:lang w:val="en-US" w:eastAsia="zh-CN"/>
        </w:rPr>
        <w:t>2025</w:t>
      </w:r>
      <w:r>
        <w:rPr>
          <w:rFonts w:hint="default" w:ascii="Times New Roman" w:hAnsi="Times New Roman" w:eastAsia="仿宋_GB2312" w:cs="Times New Roman"/>
          <w:color w:val="auto"/>
          <w:sz w:val="28"/>
          <w:szCs w:val="28"/>
          <w:highlight w:val="none"/>
          <w:lang w:val="en-US" w:eastAsia="zh-CN"/>
        </w:rPr>
        <w:t>年度</w:t>
      </w:r>
      <w:r>
        <w:rPr>
          <w:rFonts w:hint="eastAsia" w:eastAsia="仿宋_GB2312" w:cs="Times New Roman"/>
          <w:color w:val="auto"/>
          <w:kern w:val="0"/>
          <w:sz w:val="28"/>
          <w:szCs w:val="28"/>
          <w:highlight w:val="none"/>
          <w:lang w:val="en-US" w:eastAsia="zh-CN" w:bidi="ar"/>
        </w:rPr>
        <w:t>高昌区</w:t>
      </w:r>
      <w:r>
        <w:rPr>
          <w:rFonts w:hint="eastAsia" w:ascii="Times New Roman" w:hAnsi="Times New Roman" w:eastAsia="仿宋_GB2312" w:cs="Times New Roman"/>
          <w:color w:val="auto"/>
          <w:sz w:val="28"/>
          <w:szCs w:val="28"/>
          <w:highlight w:val="none"/>
          <w:lang w:val="en-US" w:eastAsia="zh-CN"/>
        </w:rPr>
        <w:t>本级</w:t>
      </w:r>
      <w:r>
        <w:rPr>
          <w:rFonts w:hint="default" w:ascii="Times New Roman" w:hAnsi="Times New Roman" w:eastAsia="仿宋_GB2312" w:cs="Times New Roman"/>
          <w:color w:val="auto"/>
          <w:sz w:val="28"/>
          <w:szCs w:val="28"/>
          <w:highlight w:val="none"/>
          <w:lang w:val="en-US" w:eastAsia="zh-CN"/>
        </w:rPr>
        <w:t>政府专项债券收入</w:t>
      </w:r>
      <w:r>
        <w:rPr>
          <w:rFonts w:hint="eastAsia" w:eastAsia="仿宋_GB2312" w:cs="Times New Roman"/>
          <w:color w:val="auto"/>
          <w:sz w:val="28"/>
          <w:szCs w:val="28"/>
          <w:highlight w:val="none"/>
          <w:lang w:val="en-US" w:eastAsia="zh-CN"/>
        </w:rPr>
        <w:t>27.57</w:t>
      </w:r>
      <w:r>
        <w:rPr>
          <w:rFonts w:hint="default" w:ascii="Times New Roman" w:hAnsi="Times New Roman" w:eastAsia="仿宋_GB2312" w:cs="Times New Roman"/>
          <w:color w:val="auto"/>
          <w:sz w:val="28"/>
          <w:szCs w:val="28"/>
          <w:highlight w:val="none"/>
          <w:lang w:val="en-US" w:eastAsia="zh-CN"/>
        </w:rPr>
        <w:t>亿元、支出</w:t>
      </w:r>
      <w:r>
        <w:rPr>
          <w:rFonts w:hint="eastAsia" w:eastAsia="仿宋_GB2312" w:cs="Times New Roman"/>
          <w:color w:val="auto"/>
          <w:sz w:val="28"/>
          <w:szCs w:val="28"/>
          <w:highlight w:val="none"/>
          <w:lang w:val="en-US" w:eastAsia="zh-CN"/>
        </w:rPr>
        <w:t>7.87</w:t>
      </w:r>
      <w:r>
        <w:rPr>
          <w:rFonts w:hint="default" w:ascii="Times New Roman" w:hAnsi="Times New Roman" w:eastAsia="仿宋_GB2312" w:cs="Times New Roman"/>
          <w:color w:val="auto"/>
          <w:sz w:val="28"/>
          <w:szCs w:val="28"/>
          <w:highlight w:val="none"/>
          <w:lang w:val="en-US" w:eastAsia="zh-CN"/>
        </w:rPr>
        <w:t>亿元、还本付息</w:t>
      </w:r>
      <w:r>
        <w:rPr>
          <w:rFonts w:hint="eastAsia" w:eastAsia="仿宋_GB2312" w:cs="Times New Roman"/>
          <w:color w:val="auto"/>
          <w:sz w:val="28"/>
          <w:szCs w:val="28"/>
          <w:highlight w:val="none"/>
          <w:lang w:val="en-US" w:eastAsia="zh-CN"/>
        </w:rPr>
        <w:t>2.78</w:t>
      </w:r>
      <w:r>
        <w:rPr>
          <w:rFonts w:hint="default" w:ascii="Times New Roman" w:hAnsi="Times New Roman" w:eastAsia="仿宋_GB2312" w:cs="Times New Roman"/>
          <w:color w:val="auto"/>
          <w:sz w:val="28"/>
          <w:szCs w:val="28"/>
          <w:highlight w:val="none"/>
          <w:lang w:val="en-US" w:eastAsia="zh-CN"/>
        </w:rPr>
        <w:t>亿元，专项债券项目对应专项收入共计</w:t>
      </w:r>
      <w:r>
        <w:rPr>
          <w:rFonts w:hint="eastAsia" w:eastAsia="仿宋_GB2312" w:cs="Times New Roman"/>
          <w:color w:val="auto"/>
          <w:sz w:val="28"/>
          <w:szCs w:val="28"/>
          <w:highlight w:val="none"/>
          <w:lang w:val="en-US" w:eastAsia="zh-CN"/>
        </w:rPr>
        <w:t>1.42</w:t>
      </w:r>
      <w:r>
        <w:rPr>
          <w:rFonts w:hint="default" w:ascii="Times New Roman" w:hAnsi="Times New Roman" w:eastAsia="仿宋_GB2312" w:cs="Times New Roman"/>
          <w:color w:val="auto"/>
          <w:sz w:val="28"/>
          <w:szCs w:val="28"/>
          <w:highlight w:val="none"/>
          <w:lang w:val="en-US" w:eastAsia="zh-CN"/>
        </w:rPr>
        <w:t>亿元。上述债券资金主要用</w:t>
      </w:r>
      <w:r>
        <w:rPr>
          <w:rFonts w:hint="eastAsia" w:eastAsia="仿宋_GB2312" w:cs="Times New Roman"/>
          <w:color w:val="auto"/>
          <w:sz w:val="28"/>
          <w:szCs w:val="28"/>
          <w:highlight w:val="none"/>
          <w:lang w:val="en-US" w:eastAsia="zh-CN"/>
        </w:rPr>
        <w:t>于水利、产业园区基础设施、收购存量闲置土地、供排水、供热、老旧小区改造、城镇污水垃圾收集处理、农业、地下管线管廊</w:t>
      </w:r>
      <w:r>
        <w:rPr>
          <w:rFonts w:hint="default" w:ascii="Times New Roman" w:hAnsi="Times New Roman" w:eastAsia="仿宋_GB2312" w:cs="Times New Roman"/>
          <w:color w:val="auto"/>
          <w:sz w:val="28"/>
          <w:szCs w:val="28"/>
          <w:highlight w:val="none"/>
          <w:lang w:val="en-US" w:eastAsia="zh-CN"/>
        </w:rPr>
        <w:t>等重点领域有一定收益的公益性政府投资项目建设。债券期限分别是</w:t>
      </w:r>
      <w:r>
        <w:rPr>
          <w:rFonts w:hint="eastAsia" w:eastAsia="仿宋_GB2312" w:cs="Times New Roman"/>
          <w:color w:val="auto"/>
          <w:sz w:val="28"/>
          <w:szCs w:val="28"/>
          <w:highlight w:val="none"/>
          <w:lang w:val="en-US" w:eastAsia="zh-CN"/>
        </w:rPr>
        <w:t>5</w:t>
      </w:r>
      <w:r>
        <w:rPr>
          <w:rFonts w:hint="default" w:ascii="Times New Roman" w:hAnsi="Times New Roman" w:eastAsia="仿宋_GB2312" w:cs="Times New Roman"/>
          <w:color w:val="auto"/>
          <w:sz w:val="28"/>
          <w:szCs w:val="28"/>
          <w:highlight w:val="none"/>
          <w:lang w:val="en-US" w:eastAsia="zh-CN"/>
        </w:rPr>
        <w:t>、</w:t>
      </w:r>
      <w:r>
        <w:rPr>
          <w:rFonts w:hint="eastAsia" w:eastAsia="仿宋_GB2312" w:cs="Times New Roman"/>
          <w:color w:val="auto"/>
          <w:sz w:val="28"/>
          <w:szCs w:val="28"/>
          <w:highlight w:val="none"/>
          <w:lang w:val="en-US" w:eastAsia="zh-CN"/>
        </w:rPr>
        <w:t>10、15、30</w:t>
      </w:r>
      <w:r>
        <w:rPr>
          <w:rFonts w:hint="default" w:ascii="Times New Roman" w:hAnsi="Times New Roman" w:eastAsia="仿宋_GB2312" w:cs="Times New Roman"/>
          <w:color w:val="auto"/>
          <w:sz w:val="28"/>
          <w:szCs w:val="28"/>
          <w:highlight w:val="none"/>
          <w:lang w:val="en-US" w:eastAsia="zh-CN"/>
        </w:rPr>
        <w:t>年期，债券</w:t>
      </w:r>
      <w:r>
        <w:rPr>
          <w:rFonts w:hint="eastAsia" w:ascii="Times New Roman" w:hAnsi="Times New Roman" w:eastAsia="仿宋_GB2312" w:cs="Times New Roman"/>
          <w:color w:val="auto"/>
          <w:sz w:val="28"/>
          <w:szCs w:val="28"/>
          <w:highlight w:val="none"/>
          <w:lang w:val="en-US" w:eastAsia="zh-CN"/>
        </w:rPr>
        <w:t>平均</w:t>
      </w:r>
      <w:r>
        <w:rPr>
          <w:rFonts w:hint="default" w:ascii="Times New Roman" w:hAnsi="Times New Roman" w:eastAsia="仿宋_GB2312" w:cs="Times New Roman"/>
          <w:color w:val="auto"/>
          <w:sz w:val="28"/>
          <w:szCs w:val="28"/>
          <w:highlight w:val="none"/>
          <w:lang w:val="en-US" w:eastAsia="zh-CN"/>
        </w:rPr>
        <w:t>利率</w:t>
      </w:r>
      <w:r>
        <w:rPr>
          <w:rFonts w:hint="eastAsia" w:ascii="Times New Roman" w:hAnsi="Times New Roman" w:eastAsia="仿宋_GB2312" w:cs="Times New Roman"/>
          <w:color w:val="auto"/>
          <w:sz w:val="28"/>
          <w:szCs w:val="28"/>
          <w:highlight w:val="none"/>
          <w:lang w:val="en-US" w:eastAsia="zh-CN"/>
        </w:rPr>
        <w:t>为</w:t>
      </w:r>
      <w:r>
        <w:rPr>
          <w:rFonts w:hint="eastAsia" w:eastAsia="仿宋_GB2312" w:cs="Times New Roman"/>
          <w:color w:val="auto"/>
          <w:sz w:val="28"/>
          <w:szCs w:val="28"/>
          <w:highlight w:val="none"/>
          <w:lang w:val="en-US" w:eastAsia="zh-CN"/>
        </w:rPr>
        <w:t>2</w:t>
      </w:r>
      <w:r>
        <w:rPr>
          <w:rFonts w:hint="default" w:ascii="Times New Roman" w:hAnsi="Times New Roman" w:eastAsia="仿宋_GB2312" w:cs="Times New Roman"/>
          <w:color w:val="auto"/>
          <w:sz w:val="28"/>
          <w:szCs w:val="28"/>
          <w:highlight w:val="none"/>
          <w:lang w:val="en-US" w:eastAsia="zh-CN"/>
        </w:rPr>
        <w:t>%，债券还本付息资金已足额列入年初财政预算</w:t>
      </w:r>
      <w:r>
        <w:rPr>
          <w:rFonts w:hint="eastAsia" w:ascii="Times New Roman" w:hAnsi="Times New Roman" w:eastAsia="仿宋_GB2312" w:cs="Times New Roman"/>
          <w:color w:val="auto"/>
          <w:sz w:val="28"/>
          <w:szCs w:val="28"/>
          <w:highlight w:val="none"/>
          <w:lang w:val="en-US" w:eastAsia="zh-CN"/>
        </w:rPr>
        <w:t>，对应项目取得的政府性基金或专项收入等偿还</w:t>
      </w:r>
      <w:r>
        <w:rPr>
          <w:rFonts w:hint="default" w:ascii="Times New Roman" w:hAnsi="Times New Roman" w:eastAsia="仿宋_GB2312" w:cs="Times New Roman"/>
          <w:color w:val="auto"/>
          <w:sz w:val="28"/>
          <w:szCs w:val="28"/>
          <w:highlight w:val="none"/>
          <w:lang w:val="en-US" w:eastAsia="zh-CN"/>
        </w:rPr>
        <w:t>。</w:t>
      </w:r>
    </w:p>
    <w:p>
      <w:pPr>
        <w:widowControl w:val="0"/>
        <w:spacing w:line="600" w:lineRule="exact"/>
        <w:ind w:firstLine="640" w:firstLineChars="20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第六部分 财政衔接推进乡村振兴补助资金</w:t>
      </w:r>
    </w:p>
    <w:p>
      <w:pPr>
        <w:widowControl w:val="0"/>
        <w:spacing w:line="600" w:lineRule="exact"/>
        <w:ind w:firstLine="640" w:firstLineChars="200"/>
        <w:jc w:val="center"/>
        <w:outlineLvl w:val="9"/>
        <w:rPr>
          <w:rFonts w:hint="default" w:ascii="Times New Roman" w:hAnsi="Times New Roman" w:eastAsia="黑体" w:cs="Times New Roman"/>
          <w:kern w:val="0"/>
          <w:sz w:val="32"/>
          <w:szCs w:val="32"/>
          <w:highlight w:val="none"/>
          <w:lang w:val="en-US" w:eastAsia="zh-CN"/>
        </w:rPr>
      </w:pPr>
      <w:r>
        <w:rPr>
          <w:rFonts w:hint="default" w:ascii="Times New Roman" w:hAnsi="Times New Roman" w:eastAsia="黑体" w:cs="Times New Roman"/>
          <w:kern w:val="0"/>
          <w:sz w:val="32"/>
          <w:szCs w:val="32"/>
          <w:highlight w:val="none"/>
          <w:lang w:val="en-US" w:eastAsia="zh-Hans"/>
        </w:rPr>
        <w:t>公开情况说明</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654"/>
        <w:jc w:val="both"/>
        <w:textAlignment w:val="baseline"/>
        <w:rPr>
          <w:rFonts w:hint="eastAsia" w:ascii="KaiTi_GB2312" w:hAnsi="KaiTi_GB2312" w:eastAsia="KaiTi_GB2312" w:cs="KaiTi_GB2312"/>
          <w:b/>
          <w:bCs/>
          <w:snapToGrid w:val="0"/>
          <w:color w:val="000000"/>
          <w:spacing w:val="-1"/>
          <w:kern w:val="0"/>
          <w:sz w:val="31"/>
          <w:szCs w:val="31"/>
          <w:lang w:eastAsia="en-US"/>
        </w:rPr>
      </w:pPr>
      <w:r>
        <w:rPr>
          <w:rFonts w:hint="eastAsia" w:ascii="KaiTi_GB2312" w:hAnsi="KaiTi_GB2312" w:eastAsia="KaiTi_GB2312" w:cs="KaiTi_GB2312"/>
          <w:b/>
          <w:bCs/>
          <w:snapToGrid w:val="0"/>
          <w:color w:val="000000"/>
          <w:spacing w:val="-1"/>
          <w:kern w:val="0"/>
          <w:sz w:val="31"/>
          <w:szCs w:val="31"/>
          <w:lang w:eastAsia="en-US"/>
        </w:rPr>
        <w:t>一、财政衔接推进乡村振兴补助资金安排分配情况。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2026年度高昌区财政衔接推进乡村振兴补助资金13620万元（中央资金5362万元、自治区资金8248万元、本级资金10万元），其中：</w:t>
      </w:r>
      <w:r>
        <w:rPr>
          <w:rFonts w:hint="eastAsia" w:ascii="仿宋_GB2312" w:hAnsi="仿宋_GB2312" w:eastAsia="仿宋_GB2312" w:cs="仿宋_GB2312"/>
          <w:b w:val="0"/>
          <w:bCs w:val="0"/>
          <w:color w:val="auto"/>
          <w:sz w:val="32"/>
          <w:szCs w:val="32"/>
          <w:highlight w:val="none"/>
          <w:lang w:val="en-US" w:eastAsia="zh-CN"/>
        </w:rPr>
        <w:t>巩固拓展脱贫攻坚成果和乡村振兴资金12245万元，以工代赈任务资金592万元，少数民族发展任务资金575万元，欠发达国有农牧场巩固提升资金208万元，重点用于乡村振兴示范区建设、特色产业发展、农村人居环境整治及基础设施补短板工程、同步发展壮大村集体经济、促进脱贫劳动力就业增收，为新时代乡村振兴战略深入实施提供坚实的资金保障。</w:t>
      </w:r>
    </w:p>
    <w:p>
      <w:pPr>
        <w:jc w:val="center"/>
        <w:rPr>
          <w:rFonts w:hint="eastAsia"/>
          <w:lang w:val="en-US" w:eastAsia="zh-CN"/>
        </w:rPr>
      </w:pPr>
      <w:r>
        <w:rPr>
          <w:rFonts w:hint="eastAsia" w:ascii="仿宋_GB2312" w:hAnsi="仿宋_GB2312" w:eastAsia="仿宋_GB2312" w:cs="仿宋_GB2312"/>
          <w:b/>
          <w:bCs/>
          <w:sz w:val="32"/>
          <w:szCs w:val="32"/>
          <w:lang w:val="en-US" w:eastAsia="zh-CN"/>
        </w:rPr>
        <w:t>高昌区2026年财政衔接推进乡村振兴补助资金分配表</w:t>
      </w:r>
    </w:p>
    <w:p>
      <w:pPr>
        <w:pStyle w:val="3"/>
        <w:keepNext/>
        <w:keepLines/>
        <w:pageBreakBefore w:val="0"/>
        <w:widowControl w:val="0"/>
        <w:kinsoku/>
        <w:wordWrap/>
        <w:overflowPunct/>
        <w:topLinePunct w:val="0"/>
        <w:autoSpaceDE/>
        <w:autoSpaceDN/>
        <w:bidi w:val="0"/>
        <w:adjustRightInd/>
        <w:snapToGrid/>
        <w:spacing w:line="240" w:lineRule="auto"/>
        <w:jc w:val="right"/>
        <w:textAlignment w:val="auto"/>
        <w:rPr>
          <w:rFonts w:hint="eastAsia"/>
          <w:sz w:val="22"/>
          <w:szCs w:val="20"/>
          <w:lang w:val="en-US" w:eastAsia="zh-CN"/>
        </w:rPr>
      </w:pPr>
      <w:r>
        <w:rPr>
          <w:rFonts w:hint="eastAsia"/>
          <w:sz w:val="22"/>
          <w:szCs w:val="20"/>
          <w:lang w:val="en-US" w:eastAsia="zh-CN"/>
        </w:rPr>
        <w:t>单位：万元</w:t>
      </w:r>
    </w:p>
    <w:tbl>
      <w:tblPr>
        <w:tblStyle w:val="8"/>
        <w:tblW w:w="85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4"/>
        <w:gridCol w:w="1023"/>
        <w:gridCol w:w="1177"/>
        <w:gridCol w:w="1408"/>
        <w:gridCol w:w="1167"/>
        <w:gridCol w:w="1101"/>
        <w:gridCol w:w="1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24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主管部门</w:t>
            </w:r>
          </w:p>
        </w:tc>
        <w:tc>
          <w:tcPr>
            <w:tcW w:w="102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小计</w:t>
            </w:r>
          </w:p>
        </w:tc>
        <w:tc>
          <w:tcPr>
            <w:tcW w:w="1177" w:type="dxa"/>
            <w:vMerge w:val="restart"/>
            <w:tcBorders>
              <w:top w:val="single" w:color="000000" w:sz="4" w:space="0"/>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巩固拓展脱贫攻坚成果和乡村振兴任务</w:t>
            </w:r>
          </w:p>
        </w:tc>
        <w:tc>
          <w:tcPr>
            <w:tcW w:w="1408" w:type="dxa"/>
            <w:tcBorders>
              <w:top w:val="single" w:color="000000" w:sz="4" w:space="0"/>
              <w:left w:val="nil"/>
              <w:bottom w:val="nil"/>
              <w:right w:val="nil"/>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宋体" w:eastAsia="仿宋_GB2312" w:cs="仿宋_GB2312"/>
                <w:i w:val="0"/>
                <w:iCs w:val="0"/>
                <w:color w:val="000000"/>
                <w:sz w:val="28"/>
                <w:szCs w:val="28"/>
                <w:u w:val="none"/>
              </w:rPr>
            </w:pPr>
          </w:p>
        </w:tc>
        <w:tc>
          <w:tcPr>
            <w:tcW w:w="116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以工代赈任务</w:t>
            </w:r>
          </w:p>
        </w:tc>
        <w:tc>
          <w:tcPr>
            <w:tcW w:w="11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少数民族发展任务</w:t>
            </w:r>
          </w:p>
        </w:tc>
        <w:tc>
          <w:tcPr>
            <w:tcW w:w="139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欠发达国有农牧场巩固提升任务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75" w:hRule="atLeast"/>
        </w:trPr>
        <w:tc>
          <w:tcPr>
            <w:tcW w:w="1244"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宋体" w:eastAsia="仿宋_GB2312" w:cs="仿宋_GB2312"/>
                <w:i w:val="0"/>
                <w:iCs w:val="0"/>
                <w:color w:val="000000"/>
                <w:sz w:val="28"/>
                <w:szCs w:val="28"/>
                <w:u w:val="none"/>
              </w:rPr>
            </w:pPr>
          </w:p>
        </w:tc>
        <w:tc>
          <w:tcPr>
            <w:tcW w:w="1023"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宋体" w:eastAsia="仿宋_GB2312" w:cs="仿宋_GB2312"/>
                <w:i w:val="0"/>
                <w:iCs w:val="0"/>
                <w:color w:val="000000"/>
                <w:sz w:val="28"/>
                <w:szCs w:val="28"/>
                <w:u w:val="none"/>
              </w:rPr>
            </w:pPr>
          </w:p>
        </w:tc>
        <w:tc>
          <w:tcPr>
            <w:tcW w:w="1177" w:type="dxa"/>
            <w:vMerge w:val="continue"/>
            <w:tcBorders>
              <w:top w:val="single" w:color="000000" w:sz="4" w:space="0"/>
              <w:left w:val="nil"/>
              <w:bottom w:val="nil"/>
              <w:right w:val="nil"/>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宋体" w:eastAsia="仿宋_GB2312" w:cs="仿宋_GB2312"/>
                <w:i w:val="0"/>
                <w:iCs w:val="0"/>
                <w:color w:val="000000"/>
                <w:sz w:val="28"/>
                <w:szCs w:val="28"/>
                <w:u w:val="none"/>
              </w:rPr>
            </w:pPr>
          </w:p>
        </w:tc>
        <w:tc>
          <w:tcPr>
            <w:tcW w:w="1408" w:type="dxa"/>
            <w:tcBorders>
              <w:top w:val="single" w:color="000000" w:sz="4" w:space="0"/>
              <w:left w:val="single" w:color="000000" w:sz="4" w:space="0"/>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其中：发展新型农村集体经济</w:t>
            </w:r>
          </w:p>
        </w:tc>
        <w:tc>
          <w:tcPr>
            <w:tcW w:w="116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宋体" w:eastAsia="仿宋_GB2312" w:cs="仿宋_GB2312"/>
                <w:i w:val="0"/>
                <w:iCs w:val="0"/>
                <w:color w:val="000000"/>
                <w:sz w:val="28"/>
                <w:szCs w:val="28"/>
                <w:u w:val="none"/>
              </w:rPr>
            </w:pPr>
          </w:p>
        </w:tc>
        <w:tc>
          <w:tcPr>
            <w:tcW w:w="110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宋体" w:eastAsia="仿宋_GB2312" w:cs="仿宋_GB2312"/>
                <w:i w:val="0"/>
                <w:iCs w:val="0"/>
                <w:color w:val="000000"/>
                <w:sz w:val="28"/>
                <w:szCs w:val="28"/>
                <w:u w:val="none"/>
              </w:rPr>
            </w:pPr>
          </w:p>
        </w:tc>
        <w:tc>
          <w:tcPr>
            <w:tcW w:w="139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50"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rPr>
            </w:pPr>
            <w:r>
              <w:rPr>
                <w:rFonts w:hint="eastAsia" w:ascii="仿宋_GB2312" w:hAnsi="仿宋_GB2312" w:eastAsia="仿宋_GB2312" w:cs="仿宋_GB2312"/>
                <w:i w:val="0"/>
                <w:iCs w:val="0"/>
                <w:color w:val="auto"/>
                <w:kern w:val="0"/>
                <w:sz w:val="32"/>
                <w:szCs w:val="32"/>
                <w:u w:val="none"/>
                <w:lang w:val="en-US" w:eastAsia="zh-CN" w:bidi="ar"/>
              </w:rPr>
              <w:t>农业农村局</w:t>
            </w:r>
          </w:p>
        </w:tc>
        <w:tc>
          <w:tcPr>
            <w:tcW w:w="102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lang w:val="en-US" w:eastAsia="zh-CN"/>
              </w:rPr>
            </w:pPr>
            <w:r>
              <w:rPr>
                <w:rFonts w:hint="eastAsia" w:ascii="仿宋_GB2312" w:hAnsi="仿宋_GB2312" w:eastAsia="仿宋_GB2312" w:cs="仿宋_GB2312"/>
                <w:i w:val="0"/>
                <w:iCs w:val="0"/>
                <w:color w:val="auto"/>
                <w:sz w:val="32"/>
                <w:szCs w:val="32"/>
                <w:u w:val="none"/>
                <w:lang w:val="en-US" w:eastAsia="zh-CN"/>
              </w:rPr>
              <w:t>12053</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lang w:val="en-US"/>
              </w:rPr>
            </w:pPr>
            <w:r>
              <w:rPr>
                <w:rFonts w:hint="eastAsia" w:ascii="仿宋_GB2312" w:hAnsi="仿宋_GB2312" w:eastAsia="仿宋_GB2312" w:cs="仿宋_GB2312"/>
                <w:i w:val="0"/>
                <w:iCs w:val="0"/>
                <w:color w:val="auto"/>
                <w:kern w:val="0"/>
                <w:sz w:val="32"/>
                <w:szCs w:val="32"/>
                <w:u w:val="none"/>
                <w:lang w:val="en-US" w:eastAsia="zh-CN" w:bidi="ar"/>
              </w:rPr>
              <w:t>11845</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lang w:val="en-US" w:eastAsia="zh-CN"/>
              </w:rPr>
            </w:pPr>
          </w:p>
        </w:tc>
        <w:tc>
          <w:tcPr>
            <w:tcW w:w="11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1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lang w:val="en-US"/>
              </w:rPr>
            </w:pPr>
            <w:r>
              <w:rPr>
                <w:rFonts w:hint="eastAsia" w:ascii="仿宋_GB2312" w:hAnsi="仿宋_GB2312" w:eastAsia="仿宋_GB2312" w:cs="仿宋_GB2312"/>
                <w:i w:val="0"/>
                <w:iCs w:val="0"/>
                <w:color w:val="auto"/>
                <w:kern w:val="0"/>
                <w:sz w:val="32"/>
                <w:szCs w:val="32"/>
                <w:u w:val="none"/>
                <w:lang w:val="en-US" w:eastAsia="zh-CN" w:bidi="ar"/>
              </w:rPr>
              <w:t>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55"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发改委</w:t>
            </w:r>
          </w:p>
        </w:tc>
        <w:tc>
          <w:tcPr>
            <w:tcW w:w="102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lang w:val="en-US"/>
              </w:rPr>
            </w:pPr>
            <w:r>
              <w:rPr>
                <w:rFonts w:hint="eastAsia" w:ascii="仿宋_GB2312" w:hAnsi="仿宋_GB2312" w:eastAsia="仿宋_GB2312" w:cs="仿宋_GB2312"/>
                <w:i w:val="0"/>
                <w:iCs w:val="0"/>
                <w:color w:val="auto"/>
                <w:kern w:val="0"/>
                <w:sz w:val="32"/>
                <w:szCs w:val="32"/>
                <w:u w:val="none"/>
                <w:lang w:val="en-US" w:eastAsia="zh-CN" w:bidi="ar"/>
              </w:rPr>
              <w:t>592</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1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lang w:val="en-US"/>
              </w:rPr>
            </w:pPr>
            <w:r>
              <w:rPr>
                <w:rFonts w:hint="eastAsia" w:ascii="仿宋_GB2312" w:hAnsi="仿宋_GB2312" w:eastAsia="仿宋_GB2312" w:cs="仿宋_GB2312"/>
                <w:i w:val="0"/>
                <w:iCs w:val="0"/>
                <w:color w:val="auto"/>
                <w:kern w:val="0"/>
                <w:sz w:val="32"/>
                <w:szCs w:val="32"/>
                <w:u w:val="none"/>
                <w:lang w:val="en-US" w:eastAsia="zh-CN" w:bidi="ar"/>
              </w:rPr>
              <w:t>592</w:t>
            </w:r>
          </w:p>
        </w:tc>
        <w:tc>
          <w:tcPr>
            <w:tcW w:w="11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统战部</w:t>
            </w:r>
          </w:p>
        </w:tc>
        <w:tc>
          <w:tcPr>
            <w:tcW w:w="102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lang w:val="en-US"/>
              </w:rPr>
            </w:pPr>
            <w:r>
              <w:rPr>
                <w:rFonts w:hint="eastAsia" w:ascii="仿宋_GB2312" w:hAnsi="仿宋_GB2312" w:eastAsia="仿宋_GB2312" w:cs="仿宋_GB2312"/>
                <w:i w:val="0"/>
                <w:iCs w:val="0"/>
                <w:color w:val="auto"/>
                <w:kern w:val="0"/>
                <w:sz w:val="32"/>
                <w:szCs w:val="32"/>
                <w:u w:val="none"/>
                <w:lang w:val="en-US" w:eastAsia="zh-CN" w:bidi="ar"/>
              </w:rPr>
              <w:t>575</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1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1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sz w:val="32"/>
                <w:szCs w:val="32"/>
                <w:u w:val="none"/>
                <w:lang w:val="en-US"/>
              </w:rPr>
            </w:pPr>
            <w:r>
              <w:rPr>
                <w:rFonts w:hint="eastAsia" w:ascii="仿宋_GB2312" w:hAnsi="仿宋_GB2312" w:eastAsia="仿宋_GB2312" w:cs="仿宋_GB2312"/>
                <w:i w:val="0"/>
                <w:iCs w:val="0"/>
                <w:color w:val="auto"/>
                <w:kern w:val="0"/>
                <w:sz w:val="32"/>
                <w:szCs w:val="32"/>
                <w:u w:val="none"/>
                <w:lang w:val="en-US" w:eastAsia="zh-CN" w:bidi="ar"/>
              </w:rPr>
              <w:t>575</w:t>
            </w: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000000"/>
                <w:kern w:val="0"/>
                <w:sz w:val="32"/>
                <w:szCs w:val="32"/>
                <w:u w:val="none"/>
                <w:lang w:val="en-US" w:eastAsia="zh-CN" w:bidi="ar"/>
              </w:rPr>
            </w:pPr>
            <w:r>
              <w:rPr>
                <w:rFonts w:hint="eastAsia" w:ascii="仿宋_GB2312" w:hAnsi="仿宋_GB2312" w:eastAsia="仿宋_GB2312" w:cs="仿宋_GB2312"/>
                <w:i w:val="0"/>
                <w:iCs w:val="0"/>
                <w:color w:val="000000"/>
                <w:kern w:val="0"/>
                <w:sz w:val="32"/>
                <w:szCs w:val="32"/>
                <w:u w:val="none"/>
                <w:lang w:val="en-US" w:eastAsia="zh-CN" w:bidi="ar"/>
              </w:rPr>
              <w:t>组织部</w:t>
            </w:r>
          </w:p>
        </w:tc>
        <w:tc>
          <w:tcPr>
            <w:tcW w:w="102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kern w:val="0"/>
                <w:sz w:val="32"/>
                <w:szCs w:val="32"/>
                <w:u w:val="none"/>
                <w:lang w:val="en-US" w:eastAsia="zh-CN" w:bidi="ar"/>
              </w:rPr>
            </w:pPr>
            <w:r>
              <w:rPr>
                <w:rFonts w:hint="eastAsia" w:ascii="仿宋_GB2312" w:hAnsi="仿宋_GB2312" w:eastAsia="仿宋_GB2312" w:cs="仿宋_GB2312"/>
                <w:i w:val="0"/>
                <w:iCs w:val="0"/>
                <w:color w:val="auto"/>
                <w:sz w:val="32"/>
                <w:szCs w:val="32"/>
                <w:u w:val="none"/>
                <w:lang w:val="en-US" w:eastAsia="zh-CN"/>
              </w:rPr>
              <w:t>400</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lang w:val="en-US" w:eastAsia="zh-CN"/>
              </w:rPr>
            </w:pPr>
            <w:r>
              <w:rPr>
                <w:rFonts w:hint="eastAsia" w:ascii="仿宋_GB2312" w:hAnsi="仿宋_GB2312" w:eastAsia="仿宋_GB2312" w:cs="仿宋_GB2312"/>
                <w:i w:val="0"/>
                <w:iCs w:val="0"/>
                <w:color w:val="auto"/>
                <w:sz w:val="32"/>
                <w:szCs w:val="32"/>
                <w:u w:val="none"/>
                <w:lang w:val="en-US" w:eastAsia="zh-CN"/>
              </w:rPr>
              <w:t>400</w:t>
            </w:r>
          </w:p>
        </w:tc>
        <w:tc>
          <w:tcPr>
            <w:tcW w:w="11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c>
          <w:tcPr>
            <w:tcW w:w="11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i w:val="0"/>
                <w:iCs w:val="0"/>
                <w:color w:val="auto"/>
                <w:kern w:val="0"/>
                <w:sz w:val="32"/>
                <w:szCs w:val="32"/>
                <w:u w:val="none"/>
                <w:lang w:val="en-US" w:eastAsia="zh-CN" w:bidi="ar"/>
              </w:rPr>
            </w:pP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i w:val="0"/>
                <w:iCs w:val="0"/>
                <w:color w:val="auto"/>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b/>
                <w:bCs/>
                <w:i w:val="0"/>
                <w:iCs w:val="0"/>
                <w:color w:val="000000"/>
                <w:kern w:val="0"/>
                <w:sz w:val="32"/>
                <w:szCs w:val="32"/>
                <w:u w:val="none"/>
                <w:lang w:val="en-US" w:eastAsia="zh-CN" w:bidi="ar"/>
              </w:rPr>
            </w:pPr>
            <w:r>
              <w:rPr>
                <w:rFonts w:hint="eastAsia" w:ascii="仿宋_GB2312" w:hAnsi="仿宋_GB2312" w:eastAsia="仿宋_GB2312" w:cs="仿宋_GB2312"/>
                <w:b/>
                <w:bCs/>
                <w:i w:val="0"/>
                <w:iCs w:val="0"/>
                <w:color w:val="000000"/>
                <w:kern w:val="0"/>
                <w:sz w:val="32"/>
                <w:szCs w:val="32"/>
                <w:u w:val="none"/>
                <w:lang w:val="en-US" w:eastAsia="zh-CN" w:bidi="ar"/>
              </w:rPr>
              <w:t>合计</w:t>
            </w:r>
          </w:p>
        </w:tc>
        <w:tc>
          <w:tcPr>
            <w:tcW w:w="102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b/>
                <w:bCs/>
                <w:i w:val="0"/>
                <w:iCs w:val="0"/>
                <w:color w:val="auto"/>
                <w:sz w:val="32"/>
                <w:szCs w:val="32"/>
                <w:u w:val="none"/>
                <w:lang w:val="en-US" w:eastAsia="zh-CN"/>
              </w:rPr>
            </w:pPr>
            <w:r>
              <w:rPr>
                <w:rFonts w:hint="eastAsia" w:ascii="仿宋_GB2312" w:hAnsi="仿宋_GB2312" w:eastAsia="仿宋_GB2312" w:cs="仿宋_GB2312"/>
                <w:b/>
                <w:bCs/>
                <w:i w:val="0"/>
                <w:iCs w:val="0"/>
                <w:color w:val="auto"/>
                <w:sz w:val="32"/>
                <w:szCs w:val="32"/>
                <w:u w:val="none"/>
                <w:lang w:val="en-US" w:eastAsia="zh-CN"/>
              </w:rPr>
              <w:t>13620</w:t>
            </w:r>
          </w:p>
        </w:tc>
        <w:tc>
          <w:tcPr>
            <w:tcW w:w="1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b/>
                <w:bCs/>
                <w:i w:val="0"/>
                <w:iCs w:val="0"/>
                <w:color w:val="auto"/>
                <w:sz w:val="32"/>
                <w:szCs w:val="32"/>
                <w:u w:val="none"/>
                <w:lang w:val="en-US" w:eastAsia="zh-CN"/>
              </w:rPr>
            </w:pPr>
            <w:r>
              <w:rPr>
                <w:rFonts w:hint="eastAsia" w:ascii="仿宋_GB2312" w:hAnsi="仿宋_GB2312" w:eastAsia="仿宋_GB2312" w:cs="仿宋_GB2312"/>
                <w:b/>
                <w:bCs/>
                <w:i w:val="0"/>
                <w:iCs w:val="0"/>
                <w:color w:val="auto"/>
                <w:sz w:val="32"/>
                <w:szCs w:val="32"/>
                <w:u w:val="none"/>
                <w:lang w:val="en-US" w:eastAsia="zh-CN"/>
              </w:rPr>
              <w:t>11845</w:t>
            </w:r>
          </w:p>
        </w:tc>
        <w:tc>
          <w:tcPr>
            <w:tcW w:w="14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b/>
                <w:bCs/>
                <w:i w:val="0"/>
                <w:iCs w:val="0"/>
                <w:color w:val="auto"/>
                <w:sz w:val="32"/>
                <w:szCs w:val="32"/>
                <w:u w:val="none"/>
                <w:lang w:val="en-US" w:eastAsia="zh-CN"/>
              </w:rPr>
            </w:pPr>
            <w:r>
              <w:rPr>
                <w:rFonts w:hint="eastAsia" w:ascii="仿宋_GB2312" w:hAnsi="仿宋_GB2312" w:eastAsia="仿宋_GB2312" w:cs="仿宋_GB2312"/>
                <w:b/>
                <w:bCs/>
                <w:i w:val="0"/>
                <w:iCs w:val="0"/>
                <w:color w:val="auto"/>
                <w:sz w:val="32"/>
                <w:szCs w:val="32"/>
                <w:u w:val="none"/>
                <w:lang w:val="en-US" w:eastAsia="zh-CN"/>
              </w:rPr>
              <w:t>400</w:t>
            </w:r>
          </w:p>
        </w:tc>
        <w:tc>
          <w:tcPr>
            <w:tcW w:w="116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b/>
                <w:bCs/>
                <w:i w:val="0"/>
                <w:iCs w:val="0"/>
                <w:color w:val="auto"/>
                <w:sz w:val="32"/>
                <w:szCs w:val="32"/>
                <w:u w:val="none"/>
                <w:lang w:val="en-US" w:eastAsia="zh-CN"/>
              </w:rPr>
            </w:pPr>
            <w:r>
              <w:rPr>
                <w:rFonts w:hint="eastAsia" w:ascii="仿宋_GB2312" w:hAnsi="仿宋_GB2312" w:eastAsia="仿宋_GB2312" w:cs="仿宋_GB2312"/>
                <w:b/>
                <w:bCs/>
                <w:i w:val="0"/>
                <w:iCs w:val="0"/>
                <w:color w:val="auto"/>
                <w:sz w:val="32"/>
                <w:szCs w:val="32"/>
                <w:u w:val="none"/>
                <w:lang w:val="en-US" w:eastAsia="zh-CN"/>
              </w:rPr>
              <w:t>592</w:t>
            </w:r>
          </w:p>
        </w:tc>
        <w:tc>
          <w:tcPr>
            <w:tcW w:w="11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jc w:val="center"/>
              <w:textAlignment w:val="center"/>
              <w:rPr>
                <w:rFonts w:hint="eastAsia" w:ascii="仿宋_GB2312" w:hAnsi="仿宋_GB2312" w:eastAsia="仿宋_GB2312" w:cs="仿宋_GB2312"/>
                <w:b/>
                <w:bCs/>
                <w:i w:val="0"/>
                <w:iCs w:val="0"/>
                <w:color w:val="auto"/>
                <w:kern w:val="0"/>
                <w:sz w:val="32"/>
                <w:szCs w:val="32"/>
                <w:u w:val="none"/>
                <w:lang w:val="en-US" w:eastAsia="zh-CN" w:bidi="ar"/>
              </w:rPr>
            </w:pPr>
            <w:r>
              <w:rPr>
                <w:rFonts w:hint="eastAsia" w:ascii="仿宋_GB2312" w:hAnsi="仿宋_GB2312" w:eastAsia="仿宋_GB2312" w:cs="仿宋_GB2312"/>
                <w:b/>
                <w:bCs/>
                <w:i w:val="0"/>
                <w:iCs w:val="0"/>
                <w:color w:val="auto"/>
                <w:kern w:val="0"/>
                <w:sz w:val="32"/>
                <w:szCs w:val="32"/>
                <w:u w:val="none"/>
                <w:lang w:val="en-US" w:eastAsia="zh-CN" w:bidi="ar"/>
              </w:rPr>
              <w:t>575</w:t>
            </w:r>
          </w:p>
        </w:tc>
        <w:tc>
          <w:tcPr>
            <w:tcW w:w="139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kinsoku/>
              <w:wordWrap/>
              <w:overflowPunct/>
              <w:topLinePunct w:val="0"/>
              <w:autoSpaceDE/>
              <w:autoSpaceDN/>
              <w:bidi w:val="0"/>
              <w:adjustRightInd/>
              <w:snapToGrid/>
              <w:spacing w:line="520" w:lineRule="exact"/>
              <w:jc w:val="center"/>
              <w:rPr>
                <w:rFonts w:hint="eastAsia" w:ascii="仿宋_GB2312" w:hAnsi="仿宋_GB2312" w:eastAsia="仿宋_GB2312" w:cs="仿宋_GB2312"/>
                <w:b/>
                <w:bCs/>
                <w:i w:val="0"/>
                <w:iCs w:val="0"/>
                <w:color w:val="auto"/>
                <w:sz w:val="32"/>
                <w:szCs w:val="32"/>
                <w:u w:val="none"/>
                <w:lang w:val="en-US" w:eastAsia="zh-CN"/>
              </w:rPr>
            </w:pPr>
            <w:r>
              <w:rPr>
                <w:rFonts w:hint="eastAsia" w:ascii="仿宋_GB2312" w:hAnsi="仿宋_GB2312" w:eastAsia="仿宋_GB2312" w:cs="仿宋_GB2312"/>
                <w:b/>
                <w:bCs/>
                <w:i w:val="0"/>
                <w:iCs w:val="0"/>
                <w:color w:val="auto"/>
                <w:sz w:val="32"/>
                <w:szCs w:val="32"/>
                <w:u w:val="none"/>
                <w:lang w:val="en-US" w:eastAsia="zh-CN"/>
              </w:rPr>
              <w:t>208</w:t>
            </w:r>
          </w:p>
        </w:tc>
      </w:tr>
    </w:tbl>
    <w:p>
      <w:pPr>
        <w:rPr>
          <w:rFonts w:hint="eastAsia"/>
          <w:lang w:val="en-US" w:eastAsia="zh-CN"/>
        </w:rPr>
      </w:pP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楷体_GB2312" w:cs="Times New Roman"/>
          <w:b/>
          <w:spacing w:val="-4"/>
          <w:sz w:val="32"/>
          <w:szCs w:val="32"/>
          <w:highlight w:val="none"/>
          <w:lang w:val="en-US" w:eastAsia="zh-Hans"/>
        </w:rPr>
        <w:t>二、财政衔接推进乡村振兴补助资金相关政策办法。</w:t>
      </w:r>
    </w:p>
    <w:p>
      <w:pPr>
        <w:pStyle w:val="17"/>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1.关于印发《新疆维吾尔自治区财政衔接推进乡村振兴补助资金管理办法》的通知（新财规〔2021〕11号）</w:t>
      </w:r>
    </w:p>
    <w:p>
      <w:pPr>
        <w:pStyle w:val="17"/>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Times New Roman" w:hAnsi="Times New Roman" w:eastAsia="方正小标宋_GBK" w:cs="Times New Roman"/>
          <w:sz w:val="32"/>
          <w:szCs w:val="32"/>
          <w:highlight w:val="none"/>
          <w:lang w:val="en-US" w:eastAsia="zh-Hans"/>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2.关于印发《吐鲁番市财政衔接推进乡村振兴补助资金管理实施细则》（吐市财农〔2021〕26号）</w:t>
      </w:r>
    </w:p>
    <w:p>
      <w:pPr>
        <w:pStyle w:val="4"/>
        <w:keepNext w:val="0"/>
        <w:keepLines w:val="0"/>
        <w:pageBreakBefore w:val="0"/>
        <w:wordWrap/>
        <w:overflowPunct/>
        <w:topLinePunct w:val="0"/>
        <w:bidi w:val="0"/>
        <w:spacing w:beforeAutospacing="0" w:afterAutospacing="0" w:line="560" w:lineRule="exact"/>
        <w:ind w:left="650" w:right="636" w:firstLine="651"/>
        <w:jc w:val="both"/>
      </w:pPr>
    </w:p>
    <w:p>
      <w:pPr>
        <w:keepNext w:val="0"/>
        <w:keepLines w:val="0"/>
        <w:pageBreakBefore w:val="0"/>
        <w:wordWrap/>
        <w:overflowPunct/>
        <w:topLinePunct w:val="0"/>
        <w:bidi w:val="0"/>
        <w:spacing w:beforeAutospacing="0" w:afterAutospacing="0" w:line="560" w:lineRule="exact"/>
        <w:jc w:val="both"/>
        <w:sectPr>
          <w:headerReference r:id="rId6" w:type="default"/>
          <w:footerReference r:id="rId7"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ordWrap/>
        <w:overflowPunct/>
        <w:topLinePunct w:val="0"/>
        <w:bidi w:val="0"/>
        <w:spacing w:beforeAutospacing="0" w:afterAutospacing="0" w:line="560" w:lineRule="exact"/>
        <w:jc w:val="both"/>
        <w:sectPr>
          <w:headerReference r:id="rId8" w:type="default"/>
          <w:footerReference r:id="rId9"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r>
        <w:rPr>
          <w:position w:val="-235"/>
        </w:rPr>
        <w:drawing>
          <wp:anchor distT="0" distB="0" distL="0" distR="0" simplePos="0" relativeHeight="251660288" behindDoc="0" locked="0" layoutInCell="1" allowOverlap="1">
            <wp:simplePos x="0" y="0"/>
            <wp:positionH relativeFrom="column">
              <wp:posOffset>161925</wp:posOffset>
            </wp:positionH>
            <wp:positionV relativeFrom="paragraph">
              <wp:posOffset>287020</wp:posOffset>
            </wp:positionV>
            <wp:extent cx="5269865" cy="7467600"/>
            <wp:effectExtent l="0" t="0" r="6985" b="0"/>
            <wp:wrapSquare wrapText="bothSides"/>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57"/>
                    <a:stretch>
                      <a:fillRect/>
                    </a:stretch>
                  </pic:blipFill>
                  <pic:spPr>
                    <a:xfrm>
                      <a:off x="0" y="0"/>
                      <a:ext cx="5269991" cy="7467600"/>
                    </a:xfrm>
                    <a:prstGeom prst="rect">
                      <a:avLst/>
                    </a:prstGeom>
                  </pic:spPr>
                </pic:pic>
              </a:graphicData>
            </a:graphic>
          </wp:anchor>
        </w:drawing>
      </w:r>
    </w:p>
    <w:p>
      <w:pPr>
        <w:keepNext w:val="0"/>
        <w:keepLines w:val="0"/>
        <w:pageBreakBefore w:val="0"/>
        <w:wordWrap/>
        <w:overflowPunct/>
        <w:topLinePunct w:val="0"/>
        <w:bidi w:val="0"/>
        <w:spacing w:beforeAutospacing="0" w:afterAutospacing="0" w:line="560" w:lineRule="exact"/>
        <w:jc w:val="both"/>
        <w:rPr>
          <w:rFonts w:ascii="Arial"/>
          <w:sz w:val="21"/>
        </w:rPr>
      </w:pPr>
      <w:r>
        <w:rPr>
          <w:position w:val="-233"/>
        </w:rPr>
        <w:drawing>
          <wp:anchor distT="0" distB="0" distL="0" distR="0" simplePos="0" relativeHeight="251661312" behindDoc="0" locked="0" layoutInCell="1" allowOverlap="1">
            <wp:simplePos x="0" y="0"/>
            <wp:positionH relativeFrom="column">
              <wp:posOffset>104140</wp:posOffset>
            </wp:positionH>
            <wp:positionV relativeFrom="paragraph">
              <wp:posOffset>163195</wp:posOffset>
            </wp:positionV>
            <wp:extent cx="5274310" cy="7424420"/>
            <wp:effectExtent l="0" t="0" r="2540" b="5080"/>
            <wp:wrapTopAndBottom/>
            <wp:docPr id="6" name="IM 4"/>
            <wp:cNvGraphicFramePr/>
            <a:graphic xmlns:a="http://schemas.openxmlformats.org/drawingml/2006/main">
              <a:graphicData uri="http://schemas.openxmlformats.org/drawingml/2006/picture">
                <pic:pic xmlns:pic="http://schemas.openxmlformats.org/drawingml/2006/picture">
                  <pic:nvPicPr>
                    <pic:cNvPr id="6" name="IM 4"/>
                    <pic:cNvPicPr/>
                  </pic:nvPicPr>
                  <pic:blipFill>
                    <a:blip r:embed="rId58"/>
                    <a:stretch>
                      <a:fillRect/>
                    </a:stretch>
                  </pic:blipFill>
                  <pic:spPr>
                    <a:xfrm>
                      <a:off x="0" y="0"/>
                      <a:ext cx="5274563" cy="7424927"/>
                    </a:xfrm>
                    <a:prstGeom prst="rect">
                      <a:avLst/>
                    </a:prstGeom>
                  </pic:spPr>
                </pic:pic>
              </a:graphicData>
            </a:graphic>
          </wp:anchor>
        </w:drawing>
      </w:r>
    </w:p>
    <w:p>
      <w:pPr>
        <w:pStyle w:val="2"/>
      </w:pPr>
    </w:p>
    <w:p>
      <w:pPr>
        <w:keepNext w:val="0"/>
        <w:keepLines w:val="0"/>
        <w:pageBreakBefore w:val="0"/>
        <w:wordWrap/>
        <w:overflowPunct/>
        <w:topLinePunct w:val="0"/>
        <w:bidi w:val="0"/>
        <w:spacing w:beforeAutospacing="0" w:afterAutospacing="0" w:line="560" w:lineRule="exact"/>
        <w:jc w:val="both"/>
        <w:rPr>
          <w:rFonts w:ascii="Arial"/>
          <w:sz w:val="21"/>
        </w:rPr>
        <w:sectPr>
          <w:headerReference r:id="rId10" w:type="default"/>
          <w:footerReference r:id="rId11"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ordWrap/>
        <w:overflowPunct/>
        <w:topLinePunct w:val="0"/>
        <w:bidi w:val="0"/>
        <w:spacing w:beforeAutospacing="0" w:afterAutospacing="0" w:line="560" w:lineRule="exact"/>
        <w:ind w:firstLine="14"/>
        <w:jc w:val="both"/>
      </w:pPr>
    </w:p>
    <w:p>
      <w:pPr>
        <w:keepNext w:val="0"/>
        <w:keepLines w:val="0"/>
        <w:pageBreakBefore w:val="0"/>
        <w:wordWrap/>
        <w:overflowPunct/>
        <w:topLinePunct w:val="0"/>
        <w:bidi w:val="0"/>
        <w:spacing w:beforeAutospacing="0" w:afterAutospacing="0" w:line="560" w:lineRule="exact"/>
        <w:jc w:val="both"/>
        <w:sectPr>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r>
        <w:rPr>
          <w:position w:val="-230"/>
        </w:rPr>
        <w:drawing>
          <wp:anchor distT="0" distB="0" distL="0" distR="0" simplePos="0" relativeHeight="251662336" behindDoc="0" locked="0" layoutInCell="1" allowOverlap="1">
            <wp:simplePos x="0" y="0"/>
            <wp:positionH relativeFrom="column">
              <wp:posOffset>208915</wp:posOffset>
            </wp:positionH>
            <wp:positionV relativeFrom="paragraph">
              <wp:posOffset>-135255</wp:posOffset>
            </wp:positionV>
            <wp:extent cx="5271135" cy="7322185"/>
            <wp:effectExtent l="0" t="0" r="5715" b="12065"/>
            <wp:wrapSquare wrapText="bothSides"/>
            <wp:docPr id="7" name="IM 6"/>
            <wp:cNvGraphicFramePr/>
            <a:graphic xmlns:a="http://schemas.openxmlformats.org/drawingml/2006/main">
              <a:graphicData uri="http://schemas.openxmlformats.org/drawingml/2006/picture">
                <pic:pic xmlns:pic="http://schemas.openxmlformats.org/drawingml/2006/picture">
                  <pic:nvPicPr>
                    <pic:cNvPr id="7" name="IM 6"/>
                    <pic:cNvPicPr/>
                  </pic:nvPicPr>
                  <pic:blipFill>
                    <a:blip r:embed="rId59"/>
                    <a:stretch>
                      <a:fillRect/>
                    </a:stretch>
                  </pic:blipFill>
                  <pic:spPr>
                    <a:xfrm>
                      <a:off x="0" y="0"/>
                      <a:ext cx="5271515" cy="7322819"/>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34"/>
        </w:rPr>
        <w:drawing>
          <wp:anchor distT="0" distB="0" distL="0" distR="0" simplePos="0" relativeHeight="251663360" behindDoc="0" locked="0" layoutInCell="1" allowOverlap="1">
            <wp:simplePos x="0" y="0"/>
            <wp:positionH relativeFrom="column">
              <wp:posOffset>218440</wp:posOffset>
            </wp:positionH>
            <wp:positionV relativeFrom="paragraph">
              <wp:posOffset>191770</wp:posOffset>
            </wp:positionV>
            <wp:extent cx="5269865" cy="7439660"/>
            <wp:effectExtent l="0" t="0" r="6985" b="8890"/>
            <wp:wrapTopAndBottom/>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0"/>
                    <a:stretch>
                      <a:fillRect/>
                    </a:stretch>
                  </pic:blipFill>
                  <pic:spPr>
                    <a:xfrm>
                      <a:off x="0" y="0"/>
                      <a:ext cx="5269991" cy="74401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12" w:type="default"/>
          <w:footerReference r:id="rId13"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35"/>
        </w:rPr>
        <w:drawing>
          <wp:anchor distT="0" distB="0" distL="0" distR="0" simplePos="0" relativeHeight="251664384" behindDoc="0" locked="0" layoutInCell="1" allowOverlap="1">
            <wp:simplePos x="0" y="0"/>
            <wp:positionH relativeFrom="column">
              <wp:posOffset>189865</wp:posOffset>
            </wp:positionH>
            <wp:positionV relativeFrom="paragraph">
              <wp:posOffset>229870</wp:posOffset>
            </wp:positionV>
            <wp:extent cx="5273040" cy="7485380"/>
            <wp:effectExtent l="0" t="0" r="3810" b="1270"/>
            <wp:wrapTopAndBottom/>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1"/>
                    <a:stretch>
                      <a:fillRect/>
                    </a:stretch>
                  </pic:blipFill>
                  <pic:spPr>
                    <a:xfrm>
                      <a:off x="0" y="0"/>
                      <a:ext cx="5273040" cy="7485888"/>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14" w:type="default"/>
          <w:footerReference r:id="rId15"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34"/>
        </w:rPr>
        <w:drawing>
          <wp:anchor distT="0" distB="0" distL="0" distR="0" simplePos="0" relativeHeight="251665408" behindDoc="0" locked="0" layoutInCell="1" allowOverlap="1">
            <wp:simplePos x="0" y="0"/>
            <wp:positionH relativeFrom="column">
              <wp:posOffset>180340</wp:posOffset>
            </wp:positionH>
            <wp:positionV relativeFrom="paragraph">
              <wp:posOffset>248920</wp:posOffset>
            </wp:positionV>
            <wp:extent cx="5269865" cy="7442835"/>
            <wp:effectExtent l="0" t="0" r="6985" b="5715"/>
            <wp:wrapTopAndBottom/>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2"/>
                    <a:stretch>
                      <a:fillRect/>
                    </a:stretch>
                  </pic:blipFill>
                  <pic:spPr>
                    <a:xfrm>
                      <a:off x="0" y="0"/>
                      <a:ext cx="5269991" cy="7443216"/>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16" w:type="default"/>
          <w:footerReference r:id="rId17"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9"/>
        </w:rPr>
        <w:drawing>
          <wp:anchor distT="0" distB="0" distL="0" distR="0" simplePos="0" relativeHeight="251666432" behindDoc="0" locked="0" layoutInCell="1" allowOverlap="1">
            <wp:simplePos x="0" y="0"/>
            <wp:positionH relativeFrom="column">
              <wp:posOffset>142240</wp:posOffset>
            </wp:positionH>
            <wp:positionV relativeFrom="paragraph">
              <wp:posOffset>229870</wp:posOffset>
            </wp:positionV>
            <wp:extent cx="5271135" cy="7296785"/>
            <wp:effectExtent l="0" t="0" r="5715" b="18415"/>
            <wp:wrapTopAndBottom/>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3"/>
                    <a:stretch>
                      <a:fillRect/>
                    </a:stretch>
                  </pic:blipFill>
                  <pic:spPr>
                    <a:xfrm>
                      <a:off x="0" y="0"/>
                      <a:ext cx="5271515" cy="7296911"/>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18" w:type="default"/>
          <w:footerReference r:id="rId19"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ordWrap/>
        <w:overflowPunct/>
        <w:topLinePunct w:val="0"/>
        <w:bidi w:val="0"/>
        <w:spacing w:beforeAutospacing="0" w:afterAutospacing="0" w:line="560" w:lineRule="exact"/>
        <w:jc w:val="both"/>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9"/>
        </w:rPr>
        <w:drawing>
          <wp:anchor distT="0" distB="0" distL="0" distR="0" simplePos="0" relativeHeight="251667456" behindDoc="0" locked="0" layoutInCell="1" allowOverlap="1">
            <wp:simplePos x="0" y="0"/>
            <wp:positionH relativeFrom="column">
              <wp:posOffset>208915</wp:posOffset>
            </wp:positionH>
            <wp:positionV relativeFrom="paragraph">
              <wp:posOffset>55245</wp:posOffset>
            </wp:positionV>
            <wp:extent cx="5269865" cy="7281545"/>
            <wp:effectExtent l="0" t="0" r="6985" b="14605"/>
            <wp:wrapTopAndBottom/>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4"/>
                    <a:stretch>
                      <a:fillRect/>
                    </a:stretch>
                  </pic:blipFill>
                  <pic:spPr>
                    <a:xfrm>
                      <a:off x="0" y="0"/>
                      <a:ext cx="5269991" cy="7281671"/>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20" w:type="default"/>
          <w:footerReference r:id="rId21"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36"/>
        </w:rPr>
        <w:drawing>
          <wp:anchor distT="0" distB="0" distL="0" distR="0" simplePos="0" relativeHeight="251668480" behindDoc="0" locked="0" layoutInCell="1" allowOverlap="1">
            <wp:simplePos x="0" y="0"/>
            <wp:positionH relativeFrom="column">
              <wp:posOffset>247015</wp:posOffset>
            </wp:positionH>
            <wp:positionV relativeFrom="paragraph">
              <wp:posOffset>144145</wp:posOffset>
            </wp:positionV>
            <wp:extent cx="5271135" cy="7517765"/>
            <wp:effectExtent l="0" t="0" r="5715" b="6985"/>
            <wp:wrapTopAndBottom/>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5"/>
                    <a:stretch>
                      <a:fillRect/>
                    </a:stretch>
                  </pic:blipFill>
                  <pic:spPr>
                    <a:xfrm>
                      <a:off x="0" y="0"/>
                      <a:ext cx="5271515" cy="7517892"/>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22" w:type="default"/>
          <w:footerReference r:id="rId23"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34"/>
        </w:rPr>
        <w:drawing>
          <wp:anchor distT="0" distB="0" distL="0" distR="0" simplePos="0" relativeHeight="251669504" behindDoc="0" locked="0" layoutInCell="1" allowOverlap="1">
            <wp:simplePos x="0" y="0"/>
            <wp:positionH relativeFrom="column">
              <wp:posOffset>170815</wp:posOffset>
            </wp:positionH>
            <wp:positionV relativeFrom="paragraph">
              <wp:posOffset>248920</wp:posOffset>
            </wp:positionV>
            <wp:extent cx="5274310" cy="7450455"/>
            <wp:effectExtent l="0" t="0" r="2540" b="17145"/>
            <wp:wrapTopAndBottom/>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66"/>
                    <a:stretch>
                      <a:fillRect/>
                    </a:stretch>
                  </pic:blipFill>
                  <pic:spPr>
                    <a:xfrm>
                      <a:off x="0" y="0"/>
                      <a:ext cx="5274563" cy="745083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24" w:type="default"/>
          <w:footerReference r:id="rId25"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34"/>
        </w:rPr>
        <w:drawing>
          <wp:anchor distT="0" distB="0" distL="0" distR="0" simplePos="0" relativeHeight="251670528" behindDoc="0" locked="0" layoutInCell="1" allowOverlap="1">
            <wp:simplePos x="0" y="0"/>
            <wp:positionH relativeFrom="column">
              <wp:posOffset>180340</wp:posOffset>
            </wp:positionH>
            <wp:positionV relativeFrom="paragraph">
              <wp:posOffset>248920</wp:posOffset>
            </wp:positionV>
            <wp:extent cx="5271135" cy="7433945"/>
            <wp:effectExtent l="0" t="0" r="5715" b="14605"/>
            <wp:wrapTopAndBottom/>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67"/>
                    <a:stretch>
                      <a:fillRect/>
                    </a:stretch>
                  </pic:blipFill>
                  <pic:spPr>
                    <a:xfrm>
                      <a:off x="0" y="0"/>
                      <a:ext cx="5271515" cy="7434071"/>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26" w:type="default"/>
          <w:footerReference r:id="rId27"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71552" behindDoc="0" locked="0" layoutInCell="1" allowOverlap="1">
            <wp:simplePos x="0" y="0"/>
            <wp:positionH relativeFrom="column">
              <wp:posOffset>180340</wp:posOffset>
            </wp:positionH>
            <wp:positionV relativeFrom="paragraph">
              <wp:posOffset>258445</wp:posOffset>
            </wp:positionV>
            <wp:extent cx="5271135" cy="7249160"/>
            <wp:effectExtent l="0" t="0" r="5715" b="8890"/>
            <wp:wrapTopAndBottom/>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68"/>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28" w:type="default"/>
          <w:footerReference r:id="rId29"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72576" behindDoc="0" locked="0" layoutInCell="1" allowOverlap="1">
            <wp:simplePos x="0" y="0"/>
            <wp:positionH relativeFrom="column">
              <wp:posOffset>151765</wp:posOffset>
            </wp:positionH>
            <wp:positionV relativeFrom="paragraph">
              <wp:posOffset>220345</wp:posOffset>
            </wp:positionV>
            <wp:extent cx="5271135" cy="7249160"/>
            <wp:effectExtent l="0" t="0" r="5715" b="8890"/>
            <wp:wrapTopAndBottom/>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9"/>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30" w:type="default"/>
          <w:footerReference r:id="rId31"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73600" behindDoc="0" locked="0" layoutInCell="1" allowOverlap="1">
            <wp:simplePos x="0" y="0"/>
            <wp:positionH relativeFrom="column">
              <wp:posOffset>208915</wp:posOffset>
            </wp:positionH>
            <wp:positionV relativeFrom="paragraph">
              <wp:posOffset>287020</wp:posOffset>
            </wp:positionV>
            <wp:extent cx="5271135" cy="7249160"/>
            <wp:effectExtent l="0" t="0" r="5715" b="8890"/>
            <wp:wrapTopAndBottom/>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0"/>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32" w:type="default"/>
          <w:footerReference r:id="rId33"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74624" behindDoc="0" locked="0" layoutInCell="1" allowOverlap="1">
            <wp:simplePos x="0" y="0"/>
            <wp:positionH relativeFrom="column">
              <wp:posOffset>123190</wp:posOffset>
            </wp:positionH>
            <wp:positionV relativeFrom="paragraph">
              <wp:posOffset>306070</wp:posOffset>
            </wp:positionV>
            <wp:extent cx="5271135" cy="7249160"/>
            <wp:effectExtent l="0" t="0" r="5715" b="8890"/>
            <wp:wrapTopAndBottom/>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1"/>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34" w:type="default"/>
          <w:footerReference r:id="rId35"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75648" behindDoc="0" locked="0" layoutInCell="1" allowOverlap="1">
            <wp:simplePos x="0" y="0"/>
            <wp:positionH relativeFrom="column">
              <wp:posOffset>237490</wp:posOffset>
            </wp:positionH>
            <wp:positionV relativeFrom="paragraph">
              <wp:posOffset>229870</wp:posOffset>
            </wp:positionV>
            <wp:extent cx="5271135" cy="7249160"/>
            <wp:effectExtent l="0" t="0" r="5715" b="8890"/>
            <wp:wrapTopAndBottom/>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2"/>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36" w:type="default"/>
          <w:footerReference r:id="rId37"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ordWrap/>
        <w:overflowPunct/>
        <w:topLinePunct w:val="0"/>
        <w:bidi w:val="0"/>
        <w:spacing w:beforeAutospacing="0" w:afterAutospacing="0" w:line="560" w:lineRule="exact"/>
        <w:jc w:val="both"/>
        <w:rPr>
          <w:rFonts w:ascii="Arial"/>
          <w:sz w:val="21"/>
        </w:rPr>
      </w:pPr>
      <w:r>
        <w:rPr>
          <w:position w:val="-228"/>
        </w:rPr>
        <w:drawing>
          <wp:anchor distT="0" distB="0" distL="0" distR="0" simplePos="0" relativeHeight="251676672" behindDoc="0" locked="0" layoutInCell="1" allowOverlap="1">
            <wp:simplePos x="0" y="0"/>
            <wp:positionH relativeFrom="column">
              <wp:posOffset>180340</wp:posOffset>
            </wp:positionH>
            <wp:positionV relativeFrom="paragraph">
              <wp:posOffset>372745</wp:posOffset>
            </wp:positionV>
            <wp:extent cx="5271135" cy="7249160"/>
            <wp:effectExtent l="0" t="0" r="5715" b="8890"/>
            <wp:wrapTopAndBottom/>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3"/>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38" w:type="default"/>
          <w:footerReference r:id="rId39"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77696" behindDoc="0" locked="0" layoutInCell="1" allowOverlap="1">
            <wp:simplePos x="0" y="0"/>
            <wp:positionH relativeFrom="column">
              <wp:posOffset>199390</wp:posOffset>
            </wp:positionH>
            <wp:positionV relativeFrom="paragraph">
              <wp:posOffset>296545</wp:posOffset>
            </wp:positionV>
            <wp:extent cx="5271135" cy="7249160"/>
            <wp:effectExtent l="0" t="0" r="5715" b="8890"/>
            <wp:wrapTopAndBottom/>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4"/>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40" w:type="default"/>
          <w:footerReference r:id="rId41"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78720" behindDoc="0" locked="0" layoutInCell="1" allowOverlap="1">
            <wp:simplePos x="0" y="0"/>
            <wp:positionH relativeFrom="column">
              <wp:posOffset>199390</wp:posOffset>
            </wp:positionH>
            <wp:positionV relativeFrom="paragraph">
              <wp:posOffset>258445</wp:posOffset>
            </wp:positionV>
            <wp:extent cx="5271135" cy="7249160"/>
            <wp:effectExtent l="0" t="0" r="5715" b="8890"/>
            <wp:wrapTopAndBottom/>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5"/>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42" w:type="default"/>
          <w:footerReference r:id="rId43"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ordWrap/>
        <w:overflowPunct/>
        <w:topLinePunct w:val="0"/>
        <w:bidi w:val="0"/>
        <w:spacing w:beforeAutospacing="0" w:afterAutospacing="0" w:line="560" w:lineRule="exact"/>
        <w:jc w:val="both"/>
        <w:rPr>
          <w:rFonts w:ascii="Arial"/>
          <w:sz w:val="21"/>
        </w:rPr>
      </w:pPr>
      <w:r>
        <w:rPr>
          <w:position w:val="-228"/>
        </w:rPr>
        <w:drawing>
          <wp:anchor distT="0" distB="0" distL="0" distR="0" simplePos="0" relativeHeight="251679744" behindDoc="0" locked="0" layoutInCell="1" allowOverlap="1">
            <wp:simplePos x="0" y="0"/>
            <wp:positionH relativeFrom="column">
              <wp:posOffset>161290</wp:posOffset>
            </wp:positionH>
            <wp:positionV relativeFrom="paragraph">
              <wp:posOffset>420370</wp:posOffset>
            </wp:positionV>
            <wp:extent cx="5271135" cy="7249160"/>
            <wp:effectExtent l="0" t="0" r="5715" b="8890"/>
            <wp:wrapTopAndBottom/>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76"/>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44" w:type="default"/>
          <w:footerReference r:id="rId45"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80768" behindDoc="0" locked="0" layoutInCell="1" allowOverlap="1">
            <wp:simplePos x="0" y="0"/>
            <wp:positionH relativeFrom="column">
              <wp:posOffset>208915</wp:posOffset>
            </wp:positionH>
            <wp:positionV relativeFrom="paragraph">
              <wp:posOffset>144145</wp:posOffset>
            </wp:positionV>
            <wp:extent cx="5271135" cy="7249160"/>
            <wp:effectExtent l="0" t="0" r="5715" b="8890"/>
            <wp:wrapTopAndBottom/>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77"/>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46" w:type="default"/>
          <w:footerReference r:id="rId47"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81792" behindDoc="0" locked="0" layoutInCell="1" allowOverlap="1">
            <wp:simplePos x="0" y="0"/>
            <wp:positionH relativeFrom="column">
              <wp:posOffset>208915</wp:posOffset>
            </wp:positionH>
            <wp:positionV relativeFrom="paragraph">
              <wp:posOffset>248920</wp:posOffset>
            </wp:positionV>
            <wp:extent cx="5271135" cy="7249160"/>
            <wp:effectExtent l="0" t="0" r="5715" b="8890"/>
            <wp:wrapTopAndBottom/>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78"/>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48" w:type="default"/>
          <w:footerReference r:id="rId49"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82816" behindDoc="0" locked="0" layoutInCell="1" allowOverlap="1">
            <wp:simplePos x="0" y="0"/>
            <wp:positionH relativeFrom="column">
              <wp:posOffset>208915</wp:posOffset>
            </wp:positionH>
            <wp:positionV relativeFrom="paragraph">
              <wp:posOffset>296545</wp:posOffset>
            </wp:positionV>
            <wp:extent cx="5271135" cy="7249160"/>
            <wp:effectExtent l="0" t="0" r="5715" b="8890"/>
            <wp:wrapTopAndBottom/>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79"/>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50" w:type="default"/>
          <w:footerReference r:id="rId51"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ordWrap/>
        <w:overflowPunct/>
        <w:topLinePunct w:val="0"/>
        <w:bidi w:val="0"/>
        <w:spacing w:beforeAutospacing="0" w:afterAutospacing="0" w:line="560" w:lineRule="exact"/>
        <w:jc w:val="both"/>
        <w:rPr>
          <w:rFonts w:ascii="Arial"/>
          <w:sz w:val="21"/>
        </w:rPr>
      </w:pPr>
      <w:r>
        <w:rPr>
          <w:position w:val="-228"/>
        </w:rPr>
        <w:drawing>
          <wp:anchor distT="0" distB="0" distL="0" distR="0" simplePos="0" relativeHeight="251683840" behindDoc="0" locked="0" layoutInCell="1" allowOverlap="1">
            <wp:simplePos x="0" y="0"/>
            <wp:positionH relativeFrom="column">
              <wp:posOffset>142240</wp:posOffset>
            </wp:positionH>
            <wp:positionV relativeFrom="paragraph">
              <wp:posOffset>382270</wp:posOffset>
            </wp:positionV>
            <wp:extent cx="5271135" cy="7249160"/>
            <wp:effectExtent l="0" t="0" r="5715" b="8890"/>
            <wp:wrapTopAndBottom/>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0"/>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14"/>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52" w:type="default"/>
          <w:footerReference r:id="rId53"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ascii="Arial"/>
          <w:sz w:val="21"/>
        </w:rPr>
      </w:pPr>
      <w:r>
        <w:rPr>
          <w:position w:val="-228"/>
        </w:rPr>
        <w:drawing>
          <wp:anchor distT="0" distB="0" distL="0" distR="0" simplePos="0" relativeHeight="251684864" behindDoc="0" locked="0" layoutInCell="1" allowOverlap="1">
            <wp:simplePos x="0" y="0"/>
            <wp:positionH relativeFrom="column">
              <wp:posOffset>212725</wp:posOffset>
            </wp:positionH>
            <wp:positionV relativeFrom="paragraph">
              <wp:posOffset>296545</wp:posOffset>
            </wp:positionV>
            <wp:extent cx="5271135" cy="7249160"/>
            <wp:effectExtent l="0" t="0" r="5715" b="8890"/>
            <wp:wrapTopAndBottom/>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1"/>
                    <a:stretch>
                      <a:fillRect/>
                    </a:stretch>
                  </pic:blipFill>
                  <pic:spPr>
                    <a:xfrm>
                      <a:off x="0" y="0"/>
                      <a:ext cx="5271515" cy="7249667"/>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35"/>
        <w:jc w:val="both"/>
        <w:textAlignment w:val="baseline"/>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sectPr>
          <w:headerReference r:id="rId54" w:type="default"/>
          <w:footerReference r:id="rId55" w:type="default"/>
          <w:pgSz w:w="11906" w:h="16839"/>
          <w:pgMar w:top="2098" w:right="1474" w:bottom="1984" w:left="1587" w:header="0" w:footer="1152" w:gutter="0"/>
          <w:pgBorders>
            <w:top w:val="none" w:sz="0" w:space="0"/>
            <w:left w:val="none" w:sz="0" w:space="0"/>
            <w:bottom w:val="none" w:sz="0" w:space="0"/>
            <w:right w:val="none" w:sz="0" w:space="0"/>
          </w:pgBorders>
          <w:pgNumType w:fmt="decimal"/>
          <w:cols w:space="720" w:num="1"/>
        </w:sectPr>
      </w:pPr>
    </w:p>
    <w:p>
      <w:pPr>
        <w:pStyle w:val="2"/>
        <w:rPr>
          <w:rFonts w:hint="eastAsia"/>
          <w:lang w:val="en-US" w:eastAsia="zh-CN"/>
        </w:rPr>
      </w:pPr>
    </w:p>
    <w:p>
      <w:pPr>
        <w:pStyle w:val="2"/>
        <w:rPr>
          <w:rFonts w:hint="eastAsia"/>
          <w:lang w:val="en-US" w:eastAsia="zh-CN"/>
        </w:rPr>
      </w:pPr>
    </w:p>
    <w:p>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第七部分 本级汇总的预算绩效情况说明</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right="0" w:rightChars="0"/>
        <w:jc w:val="center"/>
        <w:textAlignment w:val="auto"/>
        <w:outlineLvl w:val="9"/>
        <w:rPr>
          <w:rFonts w:hint="default" w:ascii="Times New Roman" w:hAnsi="Times New Roman" w:eastAsia="仿宋_GB2312" w:cs="Times New Roman"/>
          <w:color w:val="000000"/>
          <w:kern w:val="0"/>
          <w:sz w:val="32"/>
          <w:szCs w:val="32"/>
          <w:highlight w:val="none"/>
          <w:lang w:val="en-US" w:eastAsia="zh-Hans" w:bidi="ar"/>
        </w:rPr>
      </w:pPr>
      <w:r>
        <w:rPr>
          <w:rFonts w:hint="eastAsia" w:ascii="方正小标宋简体" w:hAnsi="方正小标宋简体" w:eastAsia="方正小标宋简体" w:cs="方正小标宋简体"/>
          <w:color w:val="000000"/>
          <w:kern w:val="0"/>
          <w:sz w:val="32"/>
          <w:szCs w:val="32"/>
          <w:highlight w:val="none"/>
          <w:lang w:val="en-US" w:eastAsia="zh-Hans" w:bidi="ar"/>
        </w:rPr>
        <w:t>202</w:t>
      </w:r>
      <w:r>
        <w:rPr>
          <w:rFonts w:hint="eastAsia" w:ascii="方正小标宋简体" w:hAnsi="方正小标宋简体" w:eastAsia="方正小标宋简体" w:cs="方正小标宋简体"/>
          <w:color w:val="000000"/>
          <w:kern w:val="0"/>
          <w:sz w:val="32"/>
          <w:szCs w:val="32"/>
          <w:highlight w:val="none"/>
          <w:lang w:val="en-US" w:eastAsia="zh-CN" w:bidi="ar"/>
        </w:rPr>
        <w:t>6</w:t>
      </w:r>
      <w:r>
        <w:rPr>
          <w:rFonts w:hint="eastAsia" w:ascii="方正小标宋简体" w:hAnsi="方正小标宋简体" w:eastAsia="方正小标宋简体" w:cs="方正小标宋简体"/>
          <w:color w:val="000000"/>
          <w:kern w:val="0"/>
          <w:sz w:val="32"/>
          <w:szCs w:val="32"/>
          <w:highlight w:val="none"/>
          <w:lang w:val="en-US" w:eastAsia="zh-Hans" w:bidi="ar"/>
        </w:rPr>
        <w:t>年高昌区全面实施预算绩效管理工作计划</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kern w:val="0"/>
          <w:sz w:val="32"/>
          <w:szCs w:val="32"/>
          <w:highlight w:val="none"/>
          <w:lang w:val="en-US" w:eastAsia="zh-Hans" w:bidi="ar"/>
        </w:rPr>
      </w:pP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仿宋_GB2312" w:hAnsi="仿宋_GB2312" w:eastAsia="仿宋_GB2312" w:cs="仿宋_GB2312"/>
          <w:color w:val="000000"/>
          <w:kern w:val="0"/>
          <w:sz w:val="32"/>
          <w:szCs w:val="32"/>
          <w:highlight w:val="none"/>
          <w:lang w:val="en-US" w:eastAsia="zh-Hans" w:bidi="ar"/>
        </w:rPr>
        <w:t>202</w:t>
      </w:r>
      <w:r>
        <w:rPr>
          <w:rFonts w:hint="eastAsia" w:ascii="仿宋_GB2312" w:hAnsi="仿宋_GB2312" w:eastAsia="仿宋_GB2312" w:cs="仿宋_GB2312"/>
          <w:color w:val="000000"/>
          <w:kern w:val="0"/>
          <w:sz w:val="32"/>
          <w:szCs w:val="32"/>
          <w:highlight w:val="none"/>
          <w:lang w:val="en-US" w:eastAsia="zh-CN" w:bidi="ar"/>
        </w:rPr>
        <w:t>6</w:t>
      </w:r>
      <w:r>
        <w:rPr>
          <w:rFonts w:hint="eastAsia" w:ascii="仿宋_GB2312" w:hAnsi="仿宋_GB2312" w:eastAsia="仿宋_GB2312" w:cs="仿宋_GB2312"/>
          <w:color w:val="000000"/>
          <w:kern w:val="0"/>
          <w:sz w:val="32"/>
          <w:szCs w:val="32"/>
          <w:highlight w:val="none"/>
          <w:lang w:val="en-US" w:eastAsia="zh-Hans" w:bidi="ar"/>
        </w:rPr>
        <w:t>年，高昌区坚定贯彻落实中央全面实施预算绩效管理决策部署和自治区党委、人民政府工作要求，落实自治区经济工作会议、自治区财政工作会议精神，不断提高预算管理工作质量和水平。</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黑体" w:hAnsi="黑体" w:eastAsia="黑体" w:cs="黑体"/>
          <w:color w:val="000000"/>
          <w:kern w:val="0"/>
          <w:sz w:val="32"/>
          <w:szCs w:val="32"/>
          <w:highlight w:val="none"/>
          <w:lang w:val="en-US" w:eastAsia="zh-Hans" w:bidi="ar"/>
        </w:rPr>
      </w:pPr>
      <w:r>
        <w:rPr>
          <w:rFonts w:hint="eastAsia" w:ascii="黑体" w:hAnsi="黑体" w:eastAsia="黑体" w:cs="黑体"/>
          <w:color w:val="000000"/>
          <w:kern w:val="0"/>
          <w:sz w:val="32"/>
          <w:szCs w:val="32"/>
          <w:highlight w:val="none"/>
          <w:lang w:val="en-US" w:eastAsia="zh-Hans" w:bidi="ar"/>
        </w:rPr>
        <w:t>一、加强预算绩效制度建设</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仿宋_GB2312" w:hAnsi="仿宋_GB2312" w:eastAsia="仿宋_GB2312" w:cs="仿宋_GB2312"/>
          <w:color w:val="000000"/>
          <w:kern w:val="0"/>
          <w:sz w:val="32"/>
          <w:szCs w:val="32"/>
          <w:highlight w:val="none"/>
          <w:lang w:val="en-US" w:eastAsia="zh-Hans" w:bidi="ar"/>
        </w:rPr>
        <w:t>为加强预算绩效管理，强化预算支出责任，提高财政资金使用效益，根据《中华人民共和国预算法》有关要求，我区全面贯彻落实《自治区党委 自治区人民政府关于全面实施预算绩效管理的实施意见》（新党发﹝2018﹞30号）文件要求，认真执行资金预算管理，严格控制无预算的资金支出，规范资金管理行为，坚持财权集中统一、财权与事权分离，坚持量入为出和收支平衡，明确财政绩效评价范围和责任主体，绩效评价工作流程及工作要求。通过制度建设，文件领会，各部门单位牢固树立了“花钱必问效，无效必问责”的绩效理念，进一步增强了支出责任和效益意识，全面加强了预算管理，使得财政资金绩效和科学化管理水平不断提高。</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黑体" w:hAnsi="黑体" w:eastAsia="黑体" w:cs="黑体"/>
          <w:color w:val="000000"/>
          <w:kern w:val="0"/>
          <w:sz w:val="32"/>
          <w:szCs w:val="32"/>
          <w:highlight w:val="none"/>
          <w:lang w:val="en-US" w:eastAsia="zh-Hans" w:bidi="ar"/>
        </w:rPr>
        <w:t>二、全面实施预算项目绩效目标管理</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仿宋_GB2312" w:hAnsi="仿宋_GB2312" w:eastAsia="仿宋_GB2312" w:cs="仿宋_GB2312"/>
          <w:color w:val="000000"/>
          <w:kern w:val="0"/>
          <w:sz w:val="32"/>
          <w:szCs w:val="32"/>
          <w:highlight w:val="none"/>
          <w:lang w:val="en-US" w:eastAsia="zh-Hans" w:bidi="ar"/>
        </w:rPr>
        <w:t>202</w:t>
      </w:r>
      <w:r>
        <w:rPr>
          <w:rFonts w:hint="eastAsia" w:ascii="仿宋_GB2312" w:hAnsi="仿宋_GB2312" w:eastAsia="仿宋_GB2312" w:cs="仿宋_GB2312"/>
          <w:color w:val="000000"/>
          <w:kern w:val="0"/>
          <w:sz w:val="32"/>
          <w:szCs w:val="32"/>
          <w:highlight w:val="none"/>
          <w:lang w:val="en-US" w:eastAsia="zh-CN" w:bidi="ar"/>
        </w:rPr>
        <w:t>6</w:t>
      </w:r>
      <w:r>
        <w:rPr>
          <w:rFonts w:hint="eastAsia" w:ascii="仿宋_GB2312" w:hAnsi="仿宋_GB2312" w:eastAsia="仿宋_GB2312" w:cs="仿宋_GB2312"/>
          <w:color w:val="000000"/>
          <w:kern w:val="0"/>
          <w:sz w:val="32"/>
          <w:szCs w:val="32"/>
          <w:highlight w:val="none"/>
          <w:lang w:val="en-US" w:eastAsia="zh-Hans" w:bidi="ar"/>
        </w:rPr>
        <w:t>年，高昌区财政局对全区各单位申报的预算项目进行全面梳理、加强审核、合理保障，强调项目资金测算明细的必要性，对缺失具体内容、明细支出测算的，或支出测算不够细化的项目，一律不予安排。跟踪申报财政预算资金的项目制定绩效目标，由项目单位在申请时填报详细绩效信息，包括实施依据、项目内容和目标、实施周期、投入总额、已投入金额、本年度预算目标和金额等，作为项目审核的依据。财政部门批复下达预算时，通过规范格式同步下达绩效目标，明确部门单位是预算执行主体，负责实现项目绩效目标。</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仿宋_GB2312" w:hAnsi="仿宋_GB2312" w:eastAsia="仿宋_GB2312" w:cs="仿宋_GB2312"/>
          <w:color w:val="000000"/>
          <w:kern w:val="0"/>
          <w:sz w:val="32"/>
          <w:szCs w:val="32"/>
          <w:highlight w:val="none"/>
          <w:lang w:val="en-US" w:eastAsia="zh-Hans" w:bidi="ar"/>
        </w:rPr>
        <w:t>为落实总体目标，202</w:t>
      </w:r>
      <w:r>
        <w:rPr>
          <w:rFonts w:hint="eastAsia" w:ascii="仿宋_GB2312" w:hAnsi="仿宋_GB2312" w:eastAsia="仿宋_GB2312" w:cs="仿宋_GB2312"/>
          <w:color w:val="000000"/>
          <w:kern w:val="0"/>
          <w:sz w:val="32"/>
          <w:szCs w:val="32"/>
          <w:highlight w:val="none"/>
          <w:lang w:val="en-US" w:eastAsia="zh-CN" w:bidi="ar"/>
        </w:rPr>
        <w:t>6</w:t>
      </w:r>
      <w:r>
        <w:rPr>
          <w:rFonts w:hint="eastAsia" w:ascii="仿宋_GB2312" w:hAnsi="仿宋_GB2312" w:eastAsia="仿宋_GB2312" w:cs="仿宋_GB2312"/>
          <w:color w:val="000000"/>
          <w:kern w:val="0"/>
          <w:sz w:val="32"/>
          <w:szCs w:val="32"/>
          <w:highlight w:val="none"/>
          <w:lang w:val="en-US" w:eastAsia="zh-Hans" w:bidi="ar"/>
        </w:rPr>
        <w:t>年需要着力取得突破的重点任务包括：</w:t>
      </w:r>
      <w:r>
        <w:rPr>
          <w:rFonts w:hint="eastAsia" w:ascii="仿宋_GB2312" w:hAnsi="仿宋_GB2312" w:eastAsia="仿宋_GB2312" w:cs="仿宋_GB2312"/>
          <w:b/>
          <w:bCs/>
          <w:color w:val="000000"/>
          <w:kern w:val="0"/>
          <w:sz w:val="32"/>
          <w:szCs w:val="32"/>
          <w:highlight w:val="none"/>
          <w:lang w:val="en-US" w:eastAsia="zh-Hans" w:bidi="ar"/>
        </w:rPr>
        <w:t>一是</w:t>
      </w:r>
      <w:r>
        <w:rPr>
          <w:rFonts w:hint="eastAsia" w:ascii="仿宋_GB2312" w:hAnsi="仿宋_GB2312" w:eastAsia="仿宋_GB2312" w:cs="仿宋_GB2312"/>
          <w:color w:val="000000"/>
          <w:kern w:val="0"/>
          <w:sz w:val="32"/>
          <w:szCs w:val="32"/>
          <w:highlight w:val="none"/>
          <w:lang w:val="en-US" w:eastAsia="zh-Hans" w:bidi="ar"/>
        </w:rPr>
        <w:t>优化预算绩效管理结果应用的工作机制。依托预算绩效管理信息系统，建立财政项目支出“全覆盖”绩效管理结果应用清单，在落实制度规定的基础上，对区委、区政府研究确定的重大项目以及民生支出项目，根据部门单位情况和项目支出特点，实事求是地进行分析研究，充分征求相关方意见后提出绩效结果应用要求，精准提升财政监管力度和质量。</w:t>
      </w:r>
      <w:r>
        <w:rPr>
          <w:rFonts w:hint="eastAsia" w:ascii="仿宋_GB2312" w:hAnsi="仿宋_GB2312" w:eastAsia="仿宋_GB2312" w:cs="仿宋_GB2312"/>
          <w:b/>
          <w:bCs/>
          <w:color w:val="000000"/>
          <w:kern w:val="0"/>
          <w:sz w:val="32"/>
          <w:szCs w:val="32"/>
          <w:highlight w:val="none"/>
          <w:lang w:val="en-US" w:eastAsia="zh-Hans" w:bidi="ar"/>
        </w:rPr>
        <w:t>二是</w:t>
      </w:r>
      <w:r>
        <w:rPr>
          <w:rFonts w:hint="eastAsia" w:ascii="仿宋_GB2312" w:hAnsi="仿宋_GB2312" w:eastAsia="仿宋_GB2312" w:cs="仿宋_GB2312"/>
          <w:color w:val="000000"/>
          <w:kern w:val="0"/>
          <w:sz w:val="32"/>
          <w:szCs w:val="32"/>
          <w:highlight w:val="none"/>
          <w:lang w:val="en-US" w:eastAsia="zh-Hans" w:bidi="ar"/>
        </w:rPr>
        <w:t>提升财政重点项目绩效评价质量。提高评价层次，把评价重点逐步从对单个、独立的项目评价向对</w:t>
      </w:r>
      <w:r>
        <w:rPr>
          <w:rFonts w:hint="eastAsia" w:ascii="仿宋_GB2312" w:hAnsi="仿宋_GB2312" w:eastAsia="仿宋_GB2312" w:cs="仿宋_GB2312"/>
          <w:color w:val="000000"/>
          <w:kern w:val="0"/>
          <w:sz w:val="32"/>
          <w:szCs w:val="32"/>
          <w:highlight w:val="none"/>
          <w:lang w:val="en-US" w:eastAsia="zh-CN" w:bidi="ar"/>
        </w:rPr>
        <w:t>重大决策</w:t>
      </w:r>
      <w:r>
        <w:rPr>
          <w:rFonts w:hint="eastAsia" w:ascii="仿宋_GB2312" w:hAnsi="仿宋_GB2312" w:eastAsia="仿宋_GB2312" w:cs="仿宋_GB2312"/>
          <w:color w:val="000000"/>
          <w:kern w:val="0"/>
          <w:sz w:val="32"/>
          <w:szCs w:val="32"/>
          <w:highlight w:val="none"/>
          <w:lang w:val="en-US" w:eastAsia="zh-Hans" w:bidi="ar"/>
        </w:rPr>
        <w:t>评价、部门单位整体评价、政府预算综合评价方向拓展，通过评价在更大视角、更宏观的层面上分析研究重大财政政策实施成效、部门单位核心业务履职需求、基层财政可持续能力等，为</w:t>
      </w:r>
      <w:r>
        <w:rPr>
          <w:rFonts w:hint="eastAsia" w:ascii="仿宋_GB2312" w:hAnsi="仿宋_GB2312" w:eastAsia="仿宋_GB2312" w:cs="仿宋_GB2312"/>
          <w:color w:val="000000"/>
          <w:kern w:val="0"/>
          <w:sz w:val="32"/>
          <w:szCs w:val="32"/>
          <w:highlight w:val="none"/>
          <w:lang w:val="en-US" w:eastAsia="zh-CN" w:bidi="ar"/>
        </w:rPr>
        <w:t>持续优化财政支出结构</w:t>
      </w:r>
      <w:r>
        <w:rPr>
          <w:rFonts w:hint="eastAsia" w:ascii="仿宋_GB2312" w:hAnsi="仿宋_GB2312" w:eastAsia="仿宋_GB2312" w:cs="仿宋_GB2312"/>
          <w:color w:val="000000"/>
          <w:kern w:val="0"/>
          <w:sz w:val="32"/>
          <w:szCs w:val="32"/>
          <w:highlight w:val="none"/>
          <w:lang w:val="en-US" w:eastAsia="zh-Hans" w:bidi="ar"/>
        </w:rPr>
        <w:t>提供依据。研究制定高昌区财政重点项目绩效评价“全周期”操作规范，将评价业务流程和工作要求规范化、标准化，为第三方机构实施评价提供科学、高效指导。</w:t>
      </w:r>
      <w:r>
        <w:rPr>
          <w:rFonts w:hint="eastAsia" w:ascii="仿宋_GB2312" w:hAnsi="仿宋_GB2312" w:eastAsia="仿宋_GB2312" w:cs="仿宋_GB2312"/>
          <w:b/>
          <w:bCs/>
          <w:color w:val="000000"/>
          <w:kern w:val="0"/>
          <w:sz w:val="32"/>
          <w:szCs w:val="32"/>
          <w:highlight w:val="none"/>
          <w:lang w:val="en-US" w:eastAsia="zh-Hans" w:bidi="ar"/>
        </w:rPr>
        <w:t>三是</w:t>
      </w:r>
      <w:r>
        <w:rPr>
          <w:rFonts w:hint="eastAsia" w:ascii="仿宋_GB2312" w:hAnsi="仿宋_GB2312" w:eastAsia="仿宋_GB2312" w:cs="仿宋_GB2312"/>
          <w:color w:val="000000"/>
          <w:kern w:val="0"/>
          <w:sz w:val="32"/>
          <w:szCs w:val="32"/>
          <w:highlight w:val="none"/>
          <w:lang w:val="en-US" w:eastAsia="zh-Hans" w:bidi="ar"/>
        </w:rPr>
        <w:t>提升预算绩效管理科学化水平。加快分行业</w:t>
      </w:r>
      <w:r>
        <w:rPr>
          <w:rFonts w:hint="eastAsia" w:ascii="仿宋_GB2312" w:hAnsi="仿宋_GB2312" w:eastAsia="仿宋_GB2312" w:cs="仿宋_GB2312"/>
          <w:color w:val="000000"/>
          <w:kern w:val="0"/>
          <w:sz w:val="32"/>
          <w:szCs w:val="32"/>
          <w:highlight w:val="none"/>
          <w:lang w:val="en-US" w:eastAsia="zh-CN" w:bidi="ar"/>
        </w:rPr>
        <w:t>分领域细化评价标准</w:t>
      </w:r>
      <w:r>
        <w:rPr>
          <w:rFonts w:hint="eastAsia" w:ascii="仿宋_GB2312" w:hAnsi="仿宋_GB2312" w:eastAsia="仿宋_GB2312" w:cs="仿宋_GB2312"/>
          <w:color w:val="000000"/>
          <w:kern w:val="0"/>
          <w:sz w:val="32"/>
          <w:szCs w:val="32"/>
          <w:highlight w:val="none"/>
          <w:lang w:val="en-US" w:eastAsia="zh-Hans" w:bidi="ar"/>
        </w:rPr>
        <w:t>体系研究，合理优化调整绩效评价的指标、权重，力求真实准确反映不同项目实际成效，不断提高绩效评价的科学性。四是强化对第三方机构执业质量监管。按照自治区第三方机构参与预算绩效管理的制度办法，加大对第三方机构执业成果考核和年度信用评价评级，杜绝“劣币驱逐良币”现象，切实提升第三方机构服务水平。</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黑体" w:hAnsi="黑体" w:eastAsia="黑体" w:cs="黑体"/>
          <w:color w:val="000000"/>
          <w:kern w:val="0"/>
          <w:sz w:val="32"/>
          <w:szCs w:val="32"/>
          <w:highlight w:val="none"/>
          <w:lang w:val="en-US" w:eastAsia="zh-Hans" w:bidi="ar"/>
        </w:rPr>
      </w:pPr>
      <w:r>
        <w:rPr>
          <w:rFonts w:hint="eastAsia" w:ascii="黑体" w:hAnsi="黑体" w:eastAsia="黑体" w:cs="黑体"/>
          <w:color w:val="000000"/>
          <w:kern w:val="0"/>
          <w:sz w:val="32"/>
          <w:szCs w:val="32"/>
          <w:highlight w:val="none"/>
          <w:lang w:val="en-US" w:eastAsia="zh-Hans" w:bidi="ar"/>
        </w:rPr>
        <w:t>三、积极推进项目绩效监控与评价</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仿宋_GB2312" w:hAnsi="仿宋_GB2312" w:eastAsia="仿宋_GB2312" w:cs="仿宋_GB2312"/>
          <w:color w:val="000000"/>
          <w:kern w:val="0"/>
          <w:sz w:val="32"/>
          <w:szCs w:val="32"/>
          <w:highlight w:val="none"/>
          <w:lang w:val="en-US" w:eastAsia="zh-Hans" w:bidi="ar"/>
        </w:rPr>
        <w:t>在加强预算编制环节的基础上，高昌区财政局全面加强预算执行监管和执行结果评价，将财政监控贯穿到预算管理的事前、事中、事后各个环节。一方面对预算执行结果开展监督审查。通过对照年初预算确定的项目绩效信息，重点审查资金是否符合规定支出范围；预算执行进度是否及时、合理；部门单位是否完成年初确定的预算绩效目标等；另一方面全面加强财政支出绩效评价。在开展单位自我评价基础上，再选择一些社会关注度高、金额较大的重点项目聘请第三方公司实施再评价，并逐步扩大再评价范围和数量。财政支出绩效评价、再评价结果反馈至财政部门，促进加强支出管理和下年度预算编审工作。</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0" w:firstLineChars="200"/>
        <w:jc w:val="both"/>
        <w:textAlignment w:val="auto"/>
        <w:outlineLvl w:val="9"/>
        <w:rPr>
          <w:rFonts w:hint="eastAsia" w:ascii="黑体" w:hAnsi="黑体" w:eastAsia="黑体" w:cs="黑体"/>
          <w:color w:val="000000"/>
          <w:kern w:val="0"/>
          <w:sz w:val="32"/>
          <w:szCs w:val="32"/>
          <w:highlight w:val="none"/>
          <w:lang w:val="en-US" w:eastAsia="zh-Hans" w:bidi="ar"/>
        </w:rPr>
      </w:pPr>
      <w:r>
        <w:rPr>
          <w:rFonts w:hint="eastAsia" w:ascii="黑体" w:hAnsi="黑体" w:eastAsia="黑体" w:cs="黑体"/>
          <w:color w:val="000000"/>
          <w:kern w:val="0"/>
          <w:sz w:val="32"/>
          <w:szCs w:val="32"/>
          <w:highlight w:val="none"/>
          <w:lang w:val="en-US" w:eastAsia="zh-Hans" w:bidi="ar"/>
        </w:rPr>
        <w:t>四、做好高昌区202</w:t>
      </w:r>
      <w:r>
        <w:rPr>
          <w:rFonts w:hint="eastAsia" w:ascii="黑体" w:hAnsi="黑体" w:eastAsia="黑体" w:cs="黑体"/>
          <w:color w:val="000000"/>
          <w:kern w:val="0"/>
          <w:sz w:val="32"/>
          <w:szCs w:val="32"/>
          <w:highlight w:val="none"/>
          <w:lang w:val="en-US" w:eastAsia="zh-CN" w:bidi="ar"/>
        </w:rPr>
        <w:t>6</w:t>
      </w:r>
      <w:r>
        <w:rPr>
          <w:rFonts w:hint="eastAsia" w:ascii="黑体" w:hAnsi="黑体" w:eastAsia="黑体" w:cs="黑体"/>
          <w:color w:val="000000"/>
          <w:kern w:val="0"/>
          <w:sz w:val="32"/>
          <w:szCs w:val="32"/>
          <w:highlight w:val="none"/>
          <w:lang w:val="en-US" w:eastAsia="zh-Hans" w:bidi="ar"/>
        </w:rPr>
        <w:t>年全面实施预算绩效管理的工作要求</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3"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楷体_GB2312" w:hAnsi="楷体_GB2312" w:eastAsia="楷体_GB2312" w:cs="楷体_GB2312"/>
          <w:b/>
          <w:bCs/>
          <w:color w:val="000000"/>
          <w:kern w:val="0"/>
          <w:sz w:val="32"/>
          <w:szCs w:val="32"/>
          <w:highlight w:val="none"/>
          <w:lang w:val="en-US" w:eastAsia="zh-Hans" w:bidi="ar"/>
        </w:rPr>
        <w:t>（一）统一思想，提高政治站位。</w:t>
      </w:r>
      <w:r>
        <w:rPr>
          <w:rFonts w:hint="eastAsia" w:ascii="仿宋_GB2312" w:hAnsi="仿宋_GB2312" w:eastAsia="仿宋_GB2312" w:cs="仿宋_GB2312"/>
          <w:color w:val="000000"/>
          <w:kern w:val="0"/>
          <w:sz w:val="32"/>
          <w:szCs w:val="32"/>
          <w:highlight w:val="none"/>
          <w:lang w:val="en-US" w:eastAsia="zh-Hans" w:bidi="ar"/>
        </w:rPr>
        <w:t>全面实施预算绩效管理是党中央重大决策部署，是区委、区政府安排的一项</w:t>
      </w:r>
      <w:r>
        <w:rPr>
          <w:rFonts w:hint="eastAsia" w:ascii="仿宋_GB2312" w:hAnsi="仿宋_GB2312" w:eastAsia="仿宋_GB2312" w:cs="仿宋_GB2312"/>
          <w:color w:val="000000"/>
          <w:kern w:val="0"/>
          <w:sz w:val="32"/>
          <w:szCs w:val="32"/>
          <w:highlight w:val="none"/>
          <w:lang w:val="en-US" w:eastAsia="zh-CN" w:bidi="ar"/>
        </w:rPr>
        <w:t>重大政治任务</w:t>
      </w:r>
      <w:r>
        <w:rPr>
          <w:rFonts w:hint="eastAsia" w:ascii="仿宋_GB2312" w:hAnsi="仿宋_GB2312" w:eastAsia="仿宋_GB2312" w:cs="仿宋_GB2312"/>
          <w:color w:val="000000"/>
          <w:kern w:val="0"/>
          <w:sz w:val="32"/>
          <w:szCs w:val="32"/>
          <w:highlight w:val="none"/>
          <w:lang w:val="en-US" w:eastAsia="zh-Hans" w:bidi="ar"/>
        </w:rPr>
        <w:t>，是确保财政管理“提质增效”的重要保障。各部门单位要从</w:t>
      </w:r>
      <w:r>
        <w:rPr>
          <w:rFonts w:hint="eastAsia" w:ascii="仿宋_GB2312" w:hAnsi="仿宋_GB2312" w:eastAsia="仿宋_GB2312" w:cs="仿宋_GB2312"/>
          <w:color w:val="000000"/>
          <w:kern w:val="0"/>
          <w:sz w:val="32"/>
          <w:szCs w:val="32"/>
          <w:highlight w:val="none"/>
          <w:lang w:val="en-US" w:eastAsia="zh-CN" w:bidi="ar"/>
        </w:rPr>
        <w:t>增强“四个意识”</w:t>
      </w:r>
      <w:r>
        <w:rPr>
          <w:rFonts w:hint="eastAsia" w:ascii="仿宋_GB2312" w:hAnsi="仿宋_GB2312" w:eastAsia="仿宋_GB2312" w:cs="仿宋_GB2312"/>
          <w:color w:val="000000"/>
          <w:kern w:val="0"/>
          <w:sz w:val="32"/>
          <w:szCs w:val="32"/>
          <w:highlight w:val="none"/>
          <w:lang w:val="en-US" w:eastAsia="zh-Hans" w:bidi="ar"/>
        </w:rPr>
        <w:t>、坚定“四个自信”、做到“两个维护”的高度，深刻认识和理解全面实施预算绩效管理对政府治理能力和预算管理水平提升的重大意义，不折不扣落实预算绩效管理各项工作任务和工作要求，加快预算与绩效融合进程，扎实推进绩效管理工作取得实效。</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3"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楷体_GB2312" w:hAnsi="楷体_GB2312" w:eastAsia="楷体_GB2312" w:cs="楷体_GB2312"/>
          <w:b/>
          <w:bCs/>
          <w:color w:val="000000"/>
          <w:kern w:val="0"/>
          <w:sz w:val="32"/>
          <w:szCs w:val="32"/>
          <w:highlight w:val="none"/>
          <w:lang w:val="en-US" w:eastAsia="zh-Hans" w:bidi="ar"/>
        </w:rPr>
        <w:t>（二）落实绩效管理责任。</w:t>
      </w:r>
      <w:r>
        <w:rPr>
          <w:rFonts w:hint="eastAsia" w:ascii="仿宋_GB2312" w:hAnsi="仿宋_GB2312" w:eastAsia="仿宋_GB2312" w:cs="仿宋_GB2312"/>
          <w:color w:val="000000"/>
          <w:kern w:val="0"/>
          <w:sz w:val="32"/>
          <w:szCs w:val="32"/>
          <w:highlight w:val="none"/>
          <w:lang w:val="en-US" w:eastAsia="zh-Hans" w:bidi="ar"/>
        </w:rPr>
        <w:t>高昌区财</w:t>
      </w:r>
      <w:r>
        <w:rPr>
          <w:rFonts w:hint="eastAsia" w:ascii="仿宋_GB2312" w:hAnsi="仿宋_GB2312" w:eastAsia="仿宋_GB2312" w:cs="仿宋_GB2312"/>
          <w:color w:val="000000"/>
          <w:kern w:val="0"/>
          <w:sz w:val="32"/>
          <w:szCs w:val="32"/>
          <w:highlight w:val="none"/>
          <w:lang w:val="en-US" w:eastAsia="zh-CN" w:bidi="ar"/>
        </w:rPr>
        <w:t>政局</w:t>
      </w:r>
      <w:r>
        <w:rPr>
          <w:rFonts w:hint="eastAsia" w:ascii="仿宋_GB2312" w:hAnsi="仿宋_GB2312" w:eastAsia="仿宋_GB2312" w:cs="仿宋_GB2312"/>
          <w:color w:val="000000"/>
          <w:kern w:val="0"/>
          <w:sz w:val="32"/>
          <w:szCs w:val="32"/>
          <w:highlight w:val="none"/>
          <w:lang w:val="en-US" w:eastAsia="zh-Hans" w:bidi="ar"/>
        </w:rPr>
        <w:t>要切实履行全面实施</w:t>
      </w:r>
      <w:r>
        <w:rPr>
          <w:rFonts w:hint="eastAsia" w:ascii="仿宋_GB2312" w:hAnsi="仿宋_GB2312" w:eastAsia="仿宋_GB2312" w:cs="仿宋_GB2312"/>
          <w:color w:val="000000"/>
          <w:kern w:val="0"/>
          <w:sz w:val="32"/>
          <w:szCs w:val="32"/>
          <w:highlight w:val="none"/>
          <w:lang w:val="en-US" w:eastAsia="zh-CN" w:bidi="ar"/>
        </w:rPr>
        <w:t>预算绩效管理</w:t>
      </w:r>
      <w:r>
        <w:rPr>
          <w:rFonts w:hint="eastAsia" w:ascii="仿宋_GB2312" w:hAnsi="仿宋_GB2312" w:eastAsia="仿宋_GB2312" w:cs="仿宋_GB2312"/>
          <w:color w:val="000000"/>
          <w:kern w:val="0"/>
          <w:sz w:val="32"/>
          <w:szCs w:val="32"/>
          <w:highlight w:val="none"/>
          <w:lang w:val="en-US" w:eastAsia="zh-Hans" w:bidi="ar"/>
        </w:rPr>
        <w:t>职责，层层压实责任。高昌区财政局绩效办总牵头，负责督促指导局相关业务科室、各部门单位开展预算绩效管理工作；财政局社保科负责高昌区社保基金预算绩效管理；财政局企业科负责国有资本经营预算绩效管理；财政局债务管理科负责高昌区地方政府债务资金预算绩效管理；财政局农财科负责高昌区财政衔接推进乡村振兴补助资金预算绩效管理；财政局相关业务科室负责督导高昌区对口各部门单位预算绩效管理工作。</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560" w:lineRule="exact"/>
        <w:ind w:left="0" w:leftChars="0" w:right="0" w:rightChars="0" w:firstLine="643"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Hans" w:bidi="ar"/>
        </w:rPr>
      </w:pPr>
      <w:r>
        <w:rPr>
          <w:rFonts w:hint="eastAsia" w:ascii="楷体_GB2312" w:hAnsi="楷体_GB2312" w:eastAsia="楷体_GB2312" w:cs="楷体_GB2312"/>
          <w:b/>
          <w:bCs/>
          <w:color w:val="000000"/>
          <w:kern w:val="0"/>
          <w:sz w:val="32"/>
          <w:szCs w:val="32"/>
          <w:highlight w:val="none"/>
          <w:lang w:val="en-US" w:eastAsia="zh-Hans" w:bidi="ar"/>
        </w:rPr>
        <w:t>（三）统筹推进绩效工作。</w:t>
      </w:r>
      <w:r>
        <w:rPr>
          <w:rFonts w:hint="eastAsia" w:ascii="仿宋_GB2312" w:hAnsi="仿宋_GB2312" w:eastAsia="仿宋_GB2312" w:cs="仿宋_GB2312"/>
          <w:color w:val="000000"/>
          <w:kern w:val="0"/>
          <w:sz w:val="32"/>
          <w:szCs w:val="32"/>
          <w:highlight w:val="none"/>
          <w:lang w:val="en-US" w:eastAsia="zh-Hans" w:bidi="ar"/>
        </w:rPr>
        <w:t>坚持按照事前安排部署、事中监督检查、定期报告、质量管控，事后评价和结果应用的完整管理闭环，统筹推进绩效管理各项工作。进一步强化与人大、审计等的沟通协调，主动对部门单位提供指导服务，共同构建上下联动、左右互通、人人讲绩效用绩效的良好工作氛围。</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600" w:lineRule="exact"/>
        <w:ind w:left="0" w:leftChars="0" w:right="0" w:rightChars="0" w:firstLine="643" w:firstLineChars="200"/>
        <w:jc w:val="both"/>
        <w:textAlignment w:val="auto"/>
        <w:outlineLvl w:val="9"/>
        <w:rPr>
          <w:rFonts w:hint="default" w:ascii="Times New Roman" w:hAnsi="Times New Roman" w:eastAsia="方正小标宋_GBK" w:cs="Times New Roman"/>
          <w:b/>
          <w:sz w:val="32"/>
          <w:highlight w:val="none"/>
        </w:rPr>
      </w:pPr>
      <w:r>
        <w:rPr>
          <w:rFonts w:hint="eastAsia" w:ascii="楷体_GB2312" w:hAnsi="楷体_GB2312" w:eastAsia="楷体_GB2312" w:cs="楷体_GB2312"/>
          <w:b/>
          <w:bCs/>
          <w:color w:val="000000"/>
          <w:kern w:val="0"/>
          <w:sz w:val="32"/>
          <w:szCs w:val="32"/>
          <w:highlight w:val="none"/>
          <w:lang w:val="en-US" w:eastAsia="zh-Hans" w:bidi="ar"/>
        </w:rPr>
        <w:t>（四）严肃追责问责。</w:t>
      </w:r>
      <w:r>
        <w:rPr>
          <w:rFonts w:hint="eastAsia" w:ascii="仿宋_GB2312" w:hAnsi="仿宋_GB2312" w:eastAsia="仿宋_GB2312" w:cs="仿宋_GB2312"/>
          <w:color w:val="000000"/>
          <w:kern w:val="0"/>
          <w:sz w:val="32"/>
          <w:szCs w:val="32"/>
          <w:highlight w:val="none"/>
          <w:lang w:val="en-US" w:eastAsia="zh-Hans" w:bidi="ar"/>
        </w:rPr>
        <w:t>对高昌区财政局相关科室、各部门单位不履行绩效管理职责、工作出现重大缺项漏项、被财政厅扣款或批评的，追究相关科室、部门单位主要负责人责任。对部门单位长期以来绩效工作开展不力、推诿扯皮、评价结果差的，报高昌区委、人民政府</w:t>
      </w:r>
      <w:r>
        <w:rPr>
          <w:rFonts w:hint="eastAsia" w:ascii="仿宋_GB2312" w:hAnsi="仿宋_GB2312" w:eastAsia="仿宋_GB2312" w:cs="仿宋_GB2312"/>
          <w:color w:val="000000"/>
          <w:kern w:val="0"/>
          <w:sz w:val="32"/>
          <w:szCs w:val="32"/>
          <w:highlight w:val="none"/>
          <w:lang w:val="en-US" w:eastAsia="zh-CN" w:bidi="ar"/>
        </w:rPr>
        <w:t>，</w:t>
      </w:r>
      <w:r>
        <w:rPr>
          <w:rFonts w:hint="eastAsia" w:ascii="仿宋_GB2312" w:hAnsi="仿宋_GB2312" w:eastAsia="仿宋_GB2312" w:cs="仿宋_GB2312"/>
          <w:color w:val="000000"/>
          <w:kern w:val="0"/>
          <w:sz w:val="32"/>
          <w:szCs w:val="32"/>
          <w:highlight w:val="none"/>
          <w:lang w:val="en-US" w:eastAsia="zh-Hans" w:bidi="ar"/>
        </w:rPr>
        <w:t>部门单位主要负责人进行追责。</w:t>
      </w:r>
    </w:p>
    <w:p>
      <w:pPr>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br w:type="page"/>
      </w:r>
    </w:p>
    <w:p>
      <w:pPr>
        <w:pStyle w:val="2"/>
        <w:rPr>
          <w:rFonts w:hint="default"/>
          <w:lang w:val="en-US" w:eastAsia="zh-Hans"/>
        </w:rPr>
      </w:pPr>
    </w:p>
    <w:p>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第八部分 其他情况说明</w:t>
      </w:r>
    </w:p>
    <w:p>
      <w:pPr>
        <w:keepNext w:val="0"/>
        <w:keepLines w:val="0"/>
        <w:pageBreakBefore w:val="0"/>
        <w:widowControl w:val="0"/>
        <w:suppressLineNumbers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eastAsia" w:ascii="Times New Roman" w:hAnsi="Times New Roman" w:eastAsia="仿宋_GB2312" w:cs="Times New Roman"/>
          <w:b/>
          <w:sz w:val="32"/>
          <w:szCs w:val="32"/>
          <w:highlight w:val="none"/>
          <w:lang w:eastAsia="zh-CN"/>
        </w:rPr>
      </w:pPr>
      <w:r>
        <w:rPr>
          <w:rFonts w:hint="eastAsia" w:ascii="仿宋_GB2312" w:hAnsi="仿宋_GB2312" w:eastAsia="仿宋_GB2312" w:cs="仿宋_GB2312"/>
          <w:color w:val="000000" w:themeColor="text1"/>
          <w:kern w:val="0"/>
          <w:sz w:val="32"/>
          <w:szCs w:val="32"/>
          <w:highlight w:val="none"/>
          <w:lang w:val="en-US" w:eastAsia="zh-CN" w:bidi="ar"/>
          <w14:textFill>
            <w14:solidFill>
              <w14:schemeClr w14:val="tx1"/>
            </w14:solidFill>
          </w14:textFill>
        </w:rPr>
        <w:t>无其他事项说明。</w:t>
      </w:r>
    </w:p>
    <w:p>
      <w:pPr>
        <w:rPr>
          <w:rFonts w:hint="default" w:ascii="Times New Roman" w:hAnsi="Times New Roman" w:cs="Times New Roman"/>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小标宋简体">
    <w:altName w:val="微软雅黑"/>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KaiTi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lqd70rIB&#10;AABZAwAADgAAAAAAAAABACAAAAAeAQAAZHJzL2Uyb0RvYy54bWxQSwUGAAAAAAYABgBZAQAAQgUA&#10;AAAA&#10;">
              <v:fill on="f" focussize="0,0"/>
              <v:stroke on="f"/>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v:textbox>
            </v:shape>
          </w:pict>
        </mc:Fallback>
      </mc:AlternateContent>
    </w:r>
  </w:p>
  <w:p>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CBR8Y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1d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CBR8Y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93</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92VoVAgAAFw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s92Vo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94</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85AX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GY7zkBcCAAAXBAAADgAAAAAA&#10;AAABACAAAAAfAQAAZHJzL2Uyb0RvYy54bWxQSwUGAAAAAAYABgBZAQAAqA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95</w:t>
                    </w:r>
                    <w:r>
                      <w:fldChar w:fldCharType="end"/>
                    </w:r>
                    <w: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ybQw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IybQw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96</w:t>
                    </w:r>
                    <w:r>
                      <w:fldChar w:fldCharType="end"/>
                    </w:r>
                    <w:r>
                      <w:t xml:space="preserve"> —</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wv3I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7wv3I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97</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MIe4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vUV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VMIe4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98</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1Go8VAgAAFw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qKEs0UlnT6/u3049fp51cSlYCotX4Gz42Fb+jemg7ug95DGSfv&#10;KqfijZkI7AD7eAFYdIHwGDSdTKc5TBy24YH82WO4dT68E0aRKBTUYYMJWHZY+9C7Di6xmjarRsq0&#10;RalJW9Dr1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Z1Go8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99</w:t>
                    </w:r>
                    <w:r>
                      <w:fldChar w:fldCharType="end"/>
                    </w:r>
                    <w: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JhBM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3JhBM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100</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LVm0VAgAAFwQAAA4AAABkcnMvZTJvRG9jLnhtbK1Ty47TMBTdI/EP&#10;lvc0aYGqqp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ELVm0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101</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3yPEVAgAAFw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q3yPE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EYQVhSwAQAA&#10;WQMAAA4AAAAAAAAAAQAgAAAAHgEAAGRycy9lMm9Eb2MueG1sUEsFBgAAAAAGAAYAWQEAAEAFAAAA&#10;AA==&#10;">
              <v:fill on="f" focussize="0,0"/>
              <v:stroke on="f"/>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4IK8VAgAAFw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d4IK8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103</w:t>
                    </w:r>
                    <w:r>
                      <w:fldChar w:fldCharType="end"/>
                    </w:r>
                    <w: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EvjMVAgAAFw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zEvjM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104</w:t>
                    </w:r>
                    <w:r>
                      <w:fldChar w:fldCharType="end"/>
                    </w:r>
                    <w: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oD0oVAgAAFw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WoD0o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UkdY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UkdY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106</w:t>
                    </w:r>
                    <w:r>
                      <w:fldChar w:fldCharType="end"/>
                    </w:r>
                    <w: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50"/>
      <w:rPr>
        <w:rFonts w:ascii="宋体" w:hAnsi="宋体" w:eastAsia="宋体" w:cs="宋体"/>
        <w:sz w:val="28"/>
        <w:szCs w:val="28"/>
      </w:rPr>
    </w:pPr>
    <w:r>
      <w:rPr>
        <w:sz w:val="28"/>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WQ6g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cTSjRTWNLpx/fTz9+nX99IVAKi1voZPDcWvqF7Zzq4D3oPZZy8&#10;q5yKN2YisAPs4wVg0QXCY9B0Mp3mMHHYhgfyZ0/h1vnwXhhFolBQhw0mYNlh7UPvOrjEatqsGinT&#10;FqUmbUGv317l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OLWQ6g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107</w:t>
                    </w:r>
                    <w:r>
                      <w:fldChar w:fldCharType="end"/>
                    </w:r>
                    <w: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6"/>
      <w:jc w:val="right"/>
      <w:rPr>
        <w:rFonts w:ascii="宋体" w:hAnsi="宋体" w:eastAsia="宋体" w:cs="宋体"/>
        <w:sz w:val="28"/>
        <w:szCs w:val="28"/>
      </w:rPr>
    </w:pPr>
    <w:r>
      <w:rPr>
        <w:sz w:val="28"/>
      </w:rP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q3TQ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vKN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Jat00FgIAABcEAAAOAAAAAAAA&#10;AAEAIAAAAB8BAABkcnMvZTJvRG9jLnhtbFBLBQYAAAAABgAGAFkBAACn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108</w:t>
                    </w:r>
                    <w:r>
                      <w:fldChar w:fldCharType="end"/>
                    </w:r>
                    <w: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50"/>
      <w:rPr>
        <w:rFonts w:ascii="宋体" w:hAnsi="宋体" w:eastAsia="宋体" w:cs="宋体"/>
        <w:sz w:val="28"/>
        <w:szCs w:val="28"/>
      </w:rPr>
    </w:pPr>
    <w:r>
      <w:rPr>
        <w:sz w:val="28"/>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pT5lUVAgAAFwQAAA4AAABkcnMvZTJvRG9jLnhtbK1Ty47TMBTdI/EP&#10;lvc0aWF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pT5lU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109</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6"/>
      <w:jc w:val="right"/>
      <w:rPr>
        <w:rFonts w:ascii="宋体" w:hAnsi="宋体" w:eastAsia="宋体" w:cs="宋体"/>
        <w:sz w:val="28"/>
        <w:szCs w:val="28"/>
      </w:rPr>
    </w:pPr>
    <w:r>
      <w:rPr>
        <w:sz w:val="28"/>
      </w:rP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veMkVAgAAFwQAAA4AAABkcnMvZTJvRG9jLnhtbK1Ty47TMBTdI/EP&#10;lvc0aVFH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Tm9TR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HveMk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110</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50"/>
      <w:rPr>
        <w:rFonts w:ascii="宋体" w:hAnsi="宋体" w:eastAsia="宋体" w:cs="宋体"/>
        <w:sz w:val="28"/>
        <w:szCs w:val="28"/>
      </w:rPr>
    </w:pPr>
    <w:r>
      <w:rPr>
        <w:sz w:val="28"/>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tqrcVAgAAFwQAAA4AAABkcnMvZTJvRG9jLnhtbK1Ty47TMBTdI/EP&#10;lvc0adF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T6+iZ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0tqrc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111</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SVju0AAAAAUBAAAPAAAAAAAAAAEAIAAAACIAAABkcnMvZG93bnJldi54bWxQSwECFAAUAAAACACH&#10;TuJAMpWt9LoBAABiAwAADgAAAAAAAAABACAAAAAfAQAAZHJzL2Uyb0RvYy54bWxQSwUGAAAAAAYA&#10;BgBZAQAASwUAAAAA&#10;">
              <v:fill on="f" focussize="0,0"/>
              <v:stroke on="f" weight="0.5pt"/>
              <v:imagedata o:title=""/>
              <o:lock v:ext="edit" aspectratio="f"/>
              <v:textbox inset="0mm,0mm,0mm,0mm" style="mso-fit-shape-to-text:t;">
                <w:txbxContent>
                  <w:p>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659"/>
      <w:rPr>
        <w:rFonts w:ascii="宋体" w:hAnsi="宋体" w:eastAsia="宋体" w:cs="宋体"/>
        <w:sz w:val="28"/>
        <w:szCs w:val="28"/>
      </w:rPr>
    </w:pPr>
    <w:r>
      <w:rPr>
        <w:sz w:val="28"/>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82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J2BsV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kJ2Bs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82</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87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1RocVAgAAFw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UrsbjqlRDOFJZ2/fT1//3n+8YVEJSBqrZ/Dc2vhG7o3poP7oPdQxsm7&#10;yql4YyYCO8A+XQEWXSA8Bs0ms1kOE4dteCB/9hxunQ9vhVEkCgV12GAClh03PvSug0usps26kTJt&#10;UWrSFvRm+j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K1Roc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87</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88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MfeYVAgAAFw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1JZopLOn0/dvpx6/Tz68kKgFRa/0MnhsL39C9NR3cB72HMk7e&#10;VU7FGzMR2AH28QKw6ALhMWg6mU5zmDhswwP5s8dw63x4J4wiUSiowwYTsOyw9qF3HVxiNW1WjZRp&#10;i1KTtqDXV2/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MfeY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88</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w43oWAgAAFw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aMON6FgIAABcEAAAOAAAAAAAA&#10;AAEAIAAAAB8BAABkcnMvZTJvRG9jLnhtbFBLBQYAAAAABgAGAFkBAACn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90</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left="30"/>
      <w:rPr>
        <w:rFonts w:ascii="宋体" w:hAnsi="宋体" w:eastAsia="宋体" w:cs="宋体"/>
        <w:sz w:val="28"/>
        <w:szCs w:val="28"/>
      </w:rPr>
    </w:pPr>
    <w:r>
      <w:rPr>
        <w:sz w:val="28"/>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yMQQ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byMQQ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91</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3" w:lineRule="auto"/>
      <w:ind w:right="17"/>
      <w:jc w:val="right"/>
      <w:rPr>
        <w:rFonts w:ascii="宋体" w:hAnsi="宋体" w:eastAsia="宋体" w:cs="宋体"/>
        <w:sz w:val="28"/>
        <w:szCs w:val="28"/>
      </w:rPr>
    </w:pPr>
    <w:r>
      <w:rPr>
        <w:sz w:val="2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Or5gVAgAAFw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uoNJZopLOn0/dvpx6/Tz68kKgFRa/0MnhsL39C9NR3cB72HMk7e&#10;VU7FGzMR2AH28QKw6ALhMWg6mU5zmDhswwP5s8dw63x4J4wiUSiowwYTsOyw9qF3HVxiNW1WjZRp&#10;i1KTtqDXV6/z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E1Or5gVAgAAFwQAAA4AAAAAAAAA&#10;AQAgAAAAHwEAAGRycy9lMm9Eb2MueG1sUEsFBgAAAAAGAAYAWQEAAKY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92</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62036EF5"/>
    <w:rsid w:val="00ED5986"/>
    <w:rsid w:val="045C18E2"/>
    <w:rsid w:val="0535172C"/>
    <w:rsid w:val="05A27C53"/>
    <w:rsid w:val="05F14414"/>
    <w:rsid w:val="06C70A28"/>
    <w:rsid w:val="07042134"/>
    <w:rsid w:val="08101339"/>
    <w:rsid w:val="08443130"/>
    <w:rsid w:val="08D7530F"/>
    <w:rsid w:val="0957117B"/>
    <w:rsid w:val="09BC4EF7"/>
    <w:rsid w:val="0A5D59C9"/>
    <w:rsid w:val="0C186062"/>
    <w:rsid w:val="0E1A3B33"/>
    <w:rsid w:val="10191023"/>
    <w:rsid w:val="102671C6"/>
    <w:rsid w:val="119B78D6"/>
    <w:rsid w:val="121C285C"/>
    <w:rsid w:val="1463172C"/>
    <w:rsid w:val="165C0CC5"/>
    <w:rsid w:val="18D108FB"/>
    <w:rsid w:val="1A013499"/>
    <w:rsid w:val="1AE44971"/>
    <w:rsid w:val="1BD012F7"/>
    <w:rsid w:val="1CFC5477"/>
    <w:rsid w:val="1DBC0763"/>
    <w:rsid w:val="206725B2"/>
    <w:rsid w:val="226E4E08"/>
    <w:rsid w:val="22E41309"/>
    <w:rsid w:val="22F97D63"/>
    <w:rsid w:val="24A04F23"/>
    <w:rsid w:val="255C01C0"/>
    <w:rsid w:val="264458BD"/>
    <w:rsid w:val="2649670E"/>
    <w:rsid w:val="267F16A9"/>
    <w:rsid w:val="268545F5"/>
    <w:rsid w:val="28060F58"/>
    <w:rsid w:val="281C6C84"/>
    <w:rsid w:val="28325200"/>
    <w:rsid w:val="2A930A9D"/>
    <w:rsid w:val="2C380BA4"/>
    <w:rsid w:val="2DAF3E40"/>
    <w:rsid w:val="2F955B05"/>
    <w:rsid w:val="306263DD"/>
    <w:rsid w:val="31093867"/>
    <w:rsid w:val="312C2A52"/>
    <w:rsid w:val="31DC4DAD"/>
    <w:rsid w:val="33EC3A6B"/>
    <w:rsid w:val="34254E5C"/>
    <w:rsid w:val="35270760"/>
    <w:rsid w:val="35845A05"/>
    <w:rsid w:val="366B78DE"/>
    <w:rsid w:val="368D0A96"/>
    <w:rsid w:val="37CF580A"/>
    <w:rsid w:val="38E726E0"/>
    <w:rsid w:val="3A792C8C"/>
    <w:rsid w:val="3AB83781"/>
    <w:rsid w:val="3B705BA2"/>
    <w:rsid w:val="3C2B6D87"/>
    <w:rsid w:val="3D07146C"/>
    <w:rsid w:val="3D210F01"/>
    <w:rsid w:val="3D321B9A"/>
    <w:rsid w:val="3E0A6EC5"/>
    <w:rsid w:val="40C31E27"/>
    <w:rsid w:val="41383B1C"/>
    <w:rsid w:val="41B54900"/>
    <w:rsid w:val="41DE4E43"/>
    <w:rsid w:val="42215C36"/>
    <w:rsid w:val="426867BD"/>
    <w:rsid w:val="42EB101F"/>
    <w:rsid w:val="43173ACA"/>
    <w:rsid w:val="43182454"/>
    <w:rsid w:val="43CD6976"/>
    <w:rsid w:val="44BF65CF"/>
    <w:rsid w:val="44D06CEB"/>
    <w:rsid w:val="4522704B"/>
    <w:rsid w:val="459A1B0A"/>
    <w:rsid w:val="471E3A4F"/>
    <w:rsid w:val="47A651EF"/>
    <w:rsid w:val="49CE7119"/>
    <w:rsid w:val="4B0250F8"/>
    <w:rsid w:val="4B597946"/>
    <w:rsid w:val="4B775B45"/>
    <w:rsid w:val="4CF81C62"/>
    <w:rsid w:val="4D4A2D99"/>
    <w:rsid w:val="4D6E4D26"/>
    <w:rsid w:val="4E6F0D56"/>
    <w:rsid w:val="4E6F51FA"/>
    <w:rsid w:val="4F121AC3"/>
    <w:rsid w:val="4F367AC5"/>
    <w:rsid w:val="4FC9059A"/>
    <w:rsid w:val="50FE761C"/>
    <w:rsid w:val="51576579"/>
    <w:rsid w:val="52597CAF"/>
    <w:rsid w:val="52832978"/>
    <w:rsid w:val="52946FDD"/>
    <w:rsid w:val="537F43DE"/>
    <w:rsid w:val="54046DFD"/>
    <w:rsid w:val="545E18A8"/>
    <w:rsid w:val="545E21E7"/>
    <w:rsid w:val="557650C0"/>
    <w:rsid w:val="57544F8D"/>
    <w:rsid w:val="57ED595F"/>
    <w:rsid w:val="58716858"/>
    <w:rsid w:val="58C63C68"/>
    <w:rsid w:val="597C6A1D"/>
    <w:rsid w:val="59BD19AF"/>
    <w:rsid w:val="5AF3545B"/>
    <w:rsid w:val="5B0B3CDA"/>
    <w:rsid w:val="5B4F052C"/>
    <w:rsid w:val="5BA51563"/>
    <w:rsid w:val="5BEF4346"/>
    <w:rsid w:val="5CBA6BA1"/>
    <w:rsid w:val="5D5A6808"/>
    <w:rsid w:val="5E166C88"/>
    <w:rsid w:val="5F9755FB"/>
    <w:rsid w:val="60542A32"/>
    <w:rsid w:val="60857625"/>
    <w:rsid w:val="60CD3136"/>
    <w:rsid w:val="61930DA7"/>
    <w:rsid w:val="61B054B5"/>
    <w:rsid w:val="62036EF5"/>
    <w:rsid w:val="62925F9A"/>
    <w:rsid w:val="62C85E72"/>
    <w:rsid w:val="64372ECD"/>
    <w:rsid w:val="645C36D2"/>
    <w:rsid w:val="659D0447"/>
    <w:rsid w:val="66110B45"/>
    <w:rsid w:val="67283E1C"/>
    <w:rsid w:val="67CC6DC1"/>
    <w:rsid w:val="67DC0E12"/>
    <w:rsid w:val="67E2596F"/>
    <w:rsid w:val="68096391"/>
    <w:rsid w:val="693B41FE"/>
    <w:rsid w:val="69994CD7"/>
    <w:rsid w:val="6BCD6A66"/>
    <w:rsid w:val="705636CC"/>
    <w:rsid w:val="714075C5"/>
    <w:rsid w:val="71771B4C"/>
    <w:rsid w:val="72BA5D1A"/>
    <w:rsid w:val="72E017DF"/>
    <w:rsid w:val="737116D3"/>
    <w:rsid w:val="73B039EE"/>
    <w:rsid w:val="777E1618"/>
    <w:rsid w:val="77D50318"/>
    <w:rsid w:val="79450613"/>
    <w:rsid w:val="79657D37"/>
    <w:rsid w:val="79D92E11"/>
    <w:rsid w:val="7A033B76"/>
    <w:rsid w:val="7C0C550B"/>
    <w:rsid w:val="7CA53A11"/>
    <w:rsid w:val="7D0E79AC"/>
    <w:rsid w:val="7DBD09F8"/>
    <w:rsid w:val="7E50694E"/>
    <w:rsid w:val="7F1C33F6"/>
    <w:rsid w:val="7F93455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ind w:left="1277"/>
      <w:outlineLvl w:val="1"/>
    </w:pPr>
    <w:rPr>
      <w:rFonts w:ascii="仿宋_GB2312" w:hAnsi="仿宋_GB2312" w:eastAsia="仿宋_GB2312" w:cs="仿宋_GB2312"/>
      <w:b/>
      <w:bCs/>
      <w:sz w:val="32"/>
      <w:szCs w:val="32"/>
      <w:lang w:val="zh-CN" w:eastAsia="zh-CN" w:bidi="zh-CN"/>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note text"/>
    <w:basedOn w:val="1"/>
    <w:qFormat/>
    <w:uiPriority w:val="0"/>
    <w:pPr>
      <w:snapToGrid w:val="0"/>
      <w:jc w:val="left"/>
    </w:pPr>
    <w:rPr>
      <w:sz w:val="18"/>
    </w:rPr>
  </w:style>
  <w:style w:type="paragraph" w:styleId="4">
    <w:name w:val="Body Text"/>
    <w:basedOn w:val="1"/>
    <w:qFormat/>
    <w:uiPriority w:val="0"/>
    <w:rPr>
      <w:rFonts w:ascii="方正仿宋_GBK" w:hAnsi="方正仿宋_GBK" w:eastAsia="方正仿宋_GBK" w:cs="方正仿宋_GBK"/>
      <w:sz w:val="32"/>
      <w:szCs w:val="32"/>
      <w:lang w:val="zh-CN" w:eastAsia="zh-CN" w:bidi="zh-CN"/>
    </w:rPr>
  </w:style>
  <w:style w:type="paragraph" w:styleId="5">
    <w:name w:val="footer"/>
    <w:basedOn w:val="1"/>
    <w:qFormat/>
    <w:uiPriority w:val="0"/>
    <w:pPr>
      <w:tabs>
        <w:tab w:val="center" w:pos="4153"/>
        <w:tab w:val="right" w:pos="8306"/>
      </w:tabs>
      <w:snapToGrid w:val="0"/>
      <w:jc w:val="left"/>
    </w:pPr>
    <w:rPr>
      <w:rFonts w:eastAsia="黑体"/>
      <w:snapToGrid w:val="0"/>
      <w:kern w:val="0"/>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font11"/>
    <w:basedOn w:val="7"/>
    <w:uiPriority w:val="0"/>
    <w:rPr>
      <w:rFonts w:hint="eastAsia" w:ascii="宋体" w:hAnsi="宋体" w:eastAsia="宋体" w:cs="宋体"/>
      <w:color w:val="000000"/>
      <w:sz w:val="24"/>
      <w:szCs w:val="24"/>
      <w:u w:val="none"/>
    </w:rPr>
  </w:style>
  <w:style w:type="character" w:customStyle="1" w:styleId="11">
    <w:name w:val="font01"/>
    <w:basedOn w:val="7"/>
    <w:qFormat/>
    <w:uiPriority w:val="0"/>
    <w:rPr>
      <w:rFonts w:hint="eastAsia" w:ascii="宋体" w:hAnsi="宋体" w:eastAsia="宋体" w:cs="宋体"/>
      <w:color w:val="000000"/>
      <w:sz w:val="24"/>
      <w:szCs w:val="24"/>
      <w:u w:val="none"/>
    </w:rPr>
  </w:style>
  <w:style w:type="character" w:customStyle="1" w:styleId="12">
    <w:name w:val="font81"/>
    <w:basedOn w:val="7"/>
    <w:uiPriority w:val="0"/>
    <w:rPr>
      <w:rFonts w:hint="eastAsia" w:ascii="宋体" w:hAnsi="宋体" w:eastAsia="宋体" w:cs="宋体"/>
      <w:color w:val="000000"/>
      <w:sz w:val="28"/>
      <w:szCs w:val="28"/>
      <w:u w:val="none"/>
    </w:rPr>
  </w:style>
  <w:style w:type="character" w:customStyle="1" w:styleId="13">
    <w:name w:val="font61"/>
    <w:basedOn w:val="7"/>
    <w:qFormat/>
    <w:uiPriority w:val="0"/>
    <w:rPr>
      <w:rFonts w:hint="default" w:ascii="Times New Roman" w:hAnsi="Times New Roman" w:cs="Times New Roman"/>
      <w:color w:val="000000"/>
      <w:sz w:val="20"/>
      <w:szCs w:val="20"/>
      <w:u w:val="none"/>
    </w:rPr>
  </w:style>
  <w:style w:type="character" w:customStyle="1" w:styleId="14">
    <w:name w:val="font21"/>
    <w:basedOn w:val="7"/>
    <w:qFormat/>
    <w:uiPriority w:val="0"/>
    <w:rPr>
      <w:rFonts w:hint="eastAsia" w:ascii="宋体" w:hAnsi="宋体" w:eastAsia="宋体" w:cs="宋体"/>
      <w:color w:val="000000"/>
      <w:sz w:val="20"/>
      <w:szCs w:val="20"/>
      <w:u w:val="none"/>
    </w:rPr>
  </w:style>
  <w:style w:type="character" w:customStyle="1" w:styleId="15">
    <w:name w:val="font41"/>
    <w:basedOn w:val="7"/>
    <w:qFormat/>
    <w:uiPriority w:val="0"/>
    <w:rPr>
      <w:rFonts w:hint="eastAsia" w:ascii="宋体" w:hAnsi="宋体" w:eastAsia="宋体" w:cs="宋体"/>
      <w:color w:val="000000"/>
      <w:sz w:val="24"/>
      <w:szCs w:val="24"/>
      <w:u w:val="none"/>
    </w:rPr>
  </w:style>
  <w:style w:type="character" w:customStyle="1" w:styleId="16">
    <w:name w:val="font31"/>
    <w:basedOn w:val="7"/>
    <w:qFormat/>
    <w:uiPriority w:val="0"/>
    <w:rPr>
      <w:rFonts w:hint="eastAsia" w:ascii="宋体" w:hAnsi="宋体" w:eastAsia="宋体" w:cs="宋体"/>
      <w:color w:val="000000"/>
      <w:sz w:val="22"/>
      <w:szCs w:val="22"/>
      <w:u w:val="none"/>
    </w:rPr>
  </w:style>
  <w:style w:type="paragraph" w:customStyle="1" w:styleId="17">
    <w:name w:val="No Spacing_ad81b47b-6779-4c76-b471-79375858c8cb"/>
    <w:basedOn w:val="1"/>
    <w:qFormat/>
    <w:uiPriority w:val="99"/>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4" Type="http://schemas.openxmlformats.org/officeDocument/2006/relationships/fontTable" Target="fontTable.xml"/><Relationship Id="rId83" Type="http://schemas.openxmlformats.org/officeDocument/2006/relationships/customXml" Target="../customXml/item2.xml"/><Relationship Id="rId82" Type="http://schemas.openxmlformats.org/officeDocument/2006/relationships/customXml" Target="../customXml/item1.xml"/><Relationship Id="rId81" Type="http://schemas.openxmlformats.org/officeDocument/2006/relationships/image" Target="media/image25.jpeg"/><Relationship Id="rId80" Type="http://schemas.openxmlformats.org/officeDocument/2006/relationships/image" Target="media/image24.jpeg"/><Relationship Id="rId8" Type="http://schemas.openxmlformats.org/officeDocument/2006/relationships/header" Target="header2.xml"/><Relationship Id="rId79" Type="http://schemas.openxmlformats.org/officeDocument/2006/relationships/image" Target="media/image23.jpeg"/><Relationship Id="rId78" Type="http://schemas.openxmlformats.org/officeDocument/2006/relationships/image" Target="media/image22.jpeg"/><Relationship Id="rId77" Type="http://schemas.openxmlformats.org/officeDocument/2006/relationships/image" Target="media/image21.jpeg"/><Relationship Id="rId76" Type="http://schemas.openxmlformats.org/officeDocument/2006/relationships/image" Target="media/image20.jpeg"/><Relationship Id="rId75" Type="http://schemas.openxmlformats.org/officeDocument/2006/relationships/image" Target="media/image19.jpeg"/><Relationship Id="rId74" Type="http://schemas.openxmlformats.org/officeDocument/2006/relationships/image" Target="media/image18.jpeg"/><Relationship Id="rId73" Type="http://schemas.openxmlformats.org/officeDocument/2006/relationships/image" Target="media/image17.jpeg"/><Relationship Id="rId72" Type="http://schemas.openxmlformats.org/officeDocument/2006/relationships/image" Target="media/image16.jpeg"/><Relationship Id="rId71" Type="http://schemas.openxmlformats.org/officeDocument/2006/relationships/image" Target="media/image15.jpeg"/><Relationship Id="rId70" Type="http://schemas.openxmlformats.org/officeDocument/2006/relationships/image" Target="media/image14.jpeg"/><Relationship Id="rId7" Type="http://schemas.openxmlformats.org/officeDocument/2006/relationships/footer" Target="footer4.xml"/><Relationship Id="rId69" Type="http://schemas.openxmlformats.org/officeDocument/2006/relationships/image" Target="media/image13.jpeg"/><Relationship Id="rId68" Type="http://schemas.openxmlformats.org/officeDocument/2006/relationships/image" Target="media/image12.jpeg"/><Relationship Id="rId67" Type="http://schemas.openxmlformats.org/officeDocument/2006/relationships/image" Target="media/image11.jpeg"/><Relationship Id="rId66" Type="http://schemas.openxmlformats.org/officeDocument/2006/relationships/image" Target="media/image10.jpeg"/><Relationship Id="rId65" Type="http://schemas.openxmlformats.org/officeDocument/2006/relationships/image" Target="media/image9.jpeg"/><Relationship Id="rId64" Type="http://schemas.openxmlformats.org/officeDocument/2006/relationships/image" Target="media/image8.jpeg"/><Relationship Id="rId63" Type="http://schemas.openxmlformats.org/officeDocument/2006/relationships/image" Target="media/image7.jpeg"/><Relationship Id="rId62" Type="http://schemas.openxmlformats.org/officeDocument/2006/relationships/image" Target="media/image6.jpeg"/><Relationship Id="rId61" Type="http://schemas.openxmlformats.org/officeDocument/2006/relationships/image" Target="media/image5.jpeg"/><Relationship Id="rId60" Type="http://schemas.openxmlformats.org/officeDocument/2006/relationships/image" Target="media/image4.jpeg"/><Relationship Id="rId6" Type="http://schemas.openxmlformats.org/officeDocument/2006/relationships/header" Target="header1.xml"/><Relationship Id="rId59" Type="http://schemas.openxmlformats.org/officeDocument/2006/relationships/image" Target="media/image3.jpeg"/><Relationship Id="rId58" Type="http://schemas.openxmlformats.org/officeDocument/2006/relationships/image" Target="media/image2.jpeg"/><Relationship Id="rId57" Type="http://schemas.openxmlformats.org/officeDocument/2006/relationships/image" Target="media/image1.jpeg"/><Relationship Id="rId56" Type="http://schemas.openxmlformats.org/officeDocument/2006/relationships/theme" Target="theme/theme1.xml"/><Relationship Id="rId55" Type="http://schemas.openxmlformats.org/officeDocument/2006/relationships/footer" Target="footer28.xml"/><Relationship Id="rId54" Type="http://schemas.openxmlformats.org/officeDocument/2006/relationships/header" Target="header25.xml"/><Relationship Id="rId53" Type="http://schemas.openxmlformats.org/officeDocument/2006/relationships/footer" Target="footer27.xml"/><Relationship Id="rId52" Type="http://schemas.openxmlformats.org/officeDocument/2006/relationships/header" Target="header24.xml"/><Relationship Id="rId51" Type="http://schemas.openxmlformats.org/officeDocument/2006/relationships/footer" Target="footer26.xml"/><Relationship Id="rId50" Type="http://schemas.openxmlformats.org/officeDocument/2006/relationships/header" Target="header23.xml"/><Relationship Id="rId5" Type="http://schemas.openxmlformats.org/officeDocument/2006/relationships/footer" Target="footer3.xml"/><Relationship Id="rId49" Type="http://schemas.openxmlformats.org/officeDocument/2006/relationships/footer" Target="footer25.xml"/><Relationship Id="rId48" Type="http://schemas.openxmlformats.org/officeDocument/2006/relationships/header" Target="header22.xml"/><Relationship Id="rId47" Type="http://schemas.openxmlformats.org/officeDocument/2006/relationships/footer" Target="footer24.xml"/><Relationship Id="rId46" Type="http://schemas.openxmlformats.org/officeDocument/2006/relationships/header" Target="header21.xml"/><Relationship Id="rId45" Type="http://schemas.openxmlformats.org/officeDocument/2006/relationships/footer" Target="footer23.xml"/><Relationship Id="rId44" Type="http://schemas.openxmlformats.org/officeDocument/2006/relationships/header" Target="header20.xml"/><Relationship Id="rId43" Type="http://schemas.openxmlformats.org/officeDocument/2006/relationships/footer" Target="footer22.xml"/><Relationship Id="rId42" Type="http://schemas.openxmlformats.org/officeDocument/2006/relationships/header" Target="header19.xml"/><Relationship Id="rId41" Type="http://schemas.openxmlformats.org/officeDocument/2006/relationships/footer" Target="footer21.xml"/><Relationship Id="rId40" Type="http://schemas.openxmlformats.org/officeDocument/2006/relationships/header" Target="header18.xml"/><Relationship Id="rId4" Type="http://schemas.openxmlformats.org/officeDocument/2006/relationships/footer" Target="footer2.xml"/><Relationship Id="rId39" Type="http://schemas.openxmlformats.org/officeDocument/2006/relationships/footer" Target="footer20.xml"/><Relationship Id="rId38" Type="http://schemas.openxmlformats.org/officeDocument/2006/relationships/header" Target="header17.xml"/><Relationship Id="rId37" Type="http://schemas.openxmlformats.org/officeDocument/2006/relationships/footer" Target="footer19.xml"/><Relationship Id="rId36" Type="http://schemas.openxmlformats.org/officeDocument/2006/relationships/header" Target="header16.xml"/><Relationship Id="rId35" Type="http://schemas.openxmlformats.org/officeDocument/2006/relationships/footer" Target="footer18.xml"/><Relationship Id="rId34" Type="http://schemas.openxmlformats.org/officeDocument/2006/relationships/header" Target="header15.xml"/><Relationship Id="rId33" Type="http://schemas.openxmlformats.org/officeDocument/2006/relationships/footer" Target="footer17.xml"/><Relationship Id="rId32" Type="http://schemas.openxmlformats.org/officeDocument/2006/relationships/header" Target="header14.xml"/><Relationship Id="rId31" Type="http://schemas.openxmlformats.org/officeDocument/2006/relationships/footer" Target="footer16.xml"/><Relationship Id="rId30" Type="http://schemas.openxmlformats.org/officeDocument/2006/relationships/header" Target="header13.xml"/><Relationship Id="rId3" Type="http://schemas.openxmlformats.org/officeDocument/2006/relationships/footer" Target="footer1.xml"/><Relationship Id="rId29" Type="http://schemas.openxmlformats.org/officeDocument/2006/relationships/footer" Target="footer15.xml"/><Relationship Id="rId28" Type="http://schemas.openxmlformats.org/officeDocument/2006/relationships/header" Target="header12.xml"/><Relationship Id="rId27" Type="http://schemas.openxmlformats.org/officeDocument/2006/relationships/footer" Target="footer14.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6de0811d-338b-4d2a-b99f-7f193f94d8e0</errorID>
      <errorWord>信访</errorWord>
      <group>L1_Sensitive</group>
      <groupName>敏感问题</groupName>
      <ability>L2_UserSensitive</ability>
      <abilityName>自定义敏感词</abilityName>
      <candidateList/>
      <explain>来自自定义敏感词库。</explain>
      <paraID>6178ADDF</paraID>
      <start>0</start>
      <end>2</end>
      <status>unmodified</status>
      <modifiedWord/>
      <trackRevisions>false</trackRevisions>
    </reviewItem>
    <reviewItem>
      <errorID>1b7521c8-8741-4031-9e56-e667660964bf</errorID>
      <errorWord>信访</errorWord>
      <group>L1_Sensitive</group>
      <groupName>敏感问题</groupName>
      <ability>L2_UserSensitive</ability>
      <abilityName>自定义敏感词</abilityName>
      <candidateList/>
      <explain>来自自定义敏感词库。</explain>
      <paraID>1CAA52C4</paraID>
      <start>0</start>
      <end>2</end>
      <status>unmodified</status>
      <modifiedWord/>
      <trackRevisions>false</trackRevisions>
    </reviewItem>
    <reviewItem>
      <errorID>b56924ff-0ec8-4faf-ad5f-90f5297b654a</errorID>
      <errorWord>信访</errorWord>
      <group>L1_Sensitive</group>
      <groupName>敏感问题</groupName>
      <ability>L2_UserSensitive</ability>
      <abilityName>自定义敏感词</abilityName>
      <candidateList/>
      <explain>来自自定义敏感词库。</explain>
      <paraID>25E186CD</paraID>
      <start>0</start>
      <end>2</end>
      <status>unmodified</status>
      <modifiedWord/>
      <trackRevisions>false</trackRevisions>
    </reviewItem>
    <reviewItem>
      <errorID>4f9b88b3-572e-4c3a-9f7f-99c2599c2a37</errorID>
      <errorWord>信访</errorWord>
      <group>L1_Sensitive</group>
      <groupName>敏感问题</groupName>
      <ability>L2_UserSensitive</ability>
      <abilityName>自定义敏感词</abilityName>
      <candidateList/>
      <explain>来自自定义敏感词库。</explain>
      <paraID>21FE90E5</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5d53da-5880-4f58-8408-2ec89a2add89}">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9162</Words>
  <Characters>9972</Characters>
  <Lines>0</Lines>
  <Paragraphs>0</Paragraphs>
  <TotalTime>20</TotalTime>
  <ScaleCrop>false</ScaleCrop>
  <LinksUpToDate>false</LinksUpToDate>
  <CharactersWithSpaces>9983</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2023-01-28T05:27:00Z</dcterms:created>
  <dc:creator>Administrator</dc:creator>
  <cp:lastModifiedBy>Administrator</cp:lastModifiedBy>
  <cp:lastPrinted>2026-01-22T02:25:00Z</cp:lastPrinted>
  <dcterms:modified xsi:type="dcterms:W3CDTF">2026-05-26T07:52:31Z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y fmtid="{D5CDD505-2E9C-101B-9397-08002B2CF9AE}" pid="3" name="ICV">
    <vt:lpwstr>52FF27D38ECC43559E8D61A733DD990D_13</vt:lpwstr>
  </property>
  <property fmtid="{D5CDD505-2E9C-101B-9397-08002B2CF9AE}" pid="4" name="KSOTemplateDocerSaveRecord">
    <vt:lpwstr>eyJoZGlkIjoiMmE5Mzk1NmM5NDc5YzUyMzM1MTlmM2QzNWQxYzRlMmMiLCJ1c2VySWQiOiI0MDkxODQzNTQifQ==</vt:lpwstr>
  </property>
</Properties>
</file>