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Cs/>
          <w:kern w:val="0"/>
          <w:sz w:val="32"/>
          <w:szCs w:val="32"/>
        </w:rPr>
      </w:pPr>
    </w:p>
    <w:p>
      <w:pPr>
        <w:pStyle w:val="2"/>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p>
    <w:p>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rPr>
        <w:t>高昌区本级社会保险支出</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rPr>
        <w:t>绩效评价报告</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kern w:val="0"/>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rPr>
        <w:t>（202</w:t>
      </w:r>
      <w:r>
        <w:rPr>
          <w:rFonts w:hint="eastAsia" w:ascii="方正小标宋简体" w:hAnsi="方正小标宋简体" w:eastAsia="方正小标宋简体" w:cs="方正小标宋简体"/>
          <w:b w:val="0"/>
          <w:bCs/>
          <w:kern w:val="0"/>
          <w:sz w:val="44"/>
          <w:szCs w:val="44"/>
          <w:lang w:val="en-US" w:eastAsia="zh-CN"/>
        </w:rPr>
        <w:t>2</w:t>
      </w:r>
      <w:r>
        <w:rPr>
          <w:rFonts w:hint="eastAsia" w:ascii="方正小标宋简体" w:hAnsi="方正小标宋简体" w:eastAsia="方正小标宋简体" w:cs="方正小标宋简体"/>
          <w:b w:val="0"/>
          <w:bCs/>
          <w:kern w:val="0"/>
          <w:sz w:val="44"/>
          <w:szCs w:val="44"/>
        </w:rPr>
        <w:t>年度）</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kern w:val="0"/>
          <w:sz w:val="32"/>
          <w:szCs w:val="32"/>
        </w:rPr>
      </w:pP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Cs/>
          <w:kern w:val="0"/>
          <w:sz w:val="32"/>
          <w:szCs w:val="32"/>
        </w:rPr>
      </w:pP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Cs/>
          <w:kern w:val="0"/>
          <w:sz w:val="32"/>
          <w:szCs w:val="32"/>
        </w:rPr>
      </w:pP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Cs/>
          <w:kern w:val="0"/>
          <w:sz w:val="32"/>
          <w:szCs w:val="32"/>
        </w:rPr>
      </w:pP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Cs/>
          <w:kern w:val="0"/>
          <w:sz w:val="32"/>
          <w:szCs w:val="32"/>
        </w:rPr>
      </w:pP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Cs/>
          <w:kern w:val="0"/>
          <w:sz w:val="32"/>
          <w:szCs w:val="32"/>
        </w:rPr>
      </w:pP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Cs/>
          <w:kern w:val="0"/>
          <w:sz w:val="32"/>
          <w:szCs w:val="32"/>
        </w:rPr>
      </w:pP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Cs/>
          <w:kern w:val="0"/>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 xml:space="preserve"> 项目名称：社会保险基金支出</w:t>
      </w: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Cs/>
          <w:kern w:val="0"/>
          <w:sz w:val="32"/>
          <w:szCs w:val="32"/>
        </w:rPr>
      </w:pP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rPr>
        <w:t xml:space="preserve">     实施单位（公章）：</w:t>
      </w:r>
      <w:r>
        <w:rPr>
          <w:rFonts w:hint="eastAsia" w:ascii="仿宋_GB2312" w:hAnsi="仿宋_GB2312" w:eastAsia="仿宋_GB2312" w:cs="仿宋_GB2312"/>
          <w:bCs/>
          <w:kern w:val="0"/>
          <w:sz w:val="32"/>
          <w:szCs w:val="32"/>
          <w:lang w:eastAsia="zh-CN"/>
        </w:rPr>
        <w:t>吐鲁番市</w:t>
      </w:r>
      <w:r>
        <w:rPr>
          <w:rFonts w:hint="eastAsia" w:ascii="仿宋_GB2312" w:hAnsi="仿宋_GB2312" w:eastAsia="仿宋_GB2312" w:cs="仿宋_GB2312"/>
          <w:bCs/>
          <w:kern w:val="0"/>
          <w:sz w:val="32"/>
          <w:szCs w:val="32"/>
        </w:rPr>
        <w:t>高昌区社会保险</w:t>
      </w:r>
      <w:r>
        <w:rPr>
          <w:rFonts w:hint="eastAsia" w:ascii="仿宋_GB2312" w:hAnsi="仿宋_GB2312" w:eastAsia="仿宋_GB2312" w:cs="仿宋_GB2312"/>
          <w:bCs/>
          <w:kern w:val="0"/>
          <w:sz w:val="32"/>
          <w:szCs w:val="32"/>
          <w:lang w:eastAsia="zh-CN"/>
        </w:rPr>
        <w:t>中心</w:t>
      </w: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Cs/>
          <w:kern w:val="0"/>
          <w:sz w:val="32"/>
          <w:szCs w:val="32"/>
        </w:rPr>
      </w:pPr>
    </w:p>
    <w:p>
      <w:pPr>
        <w:keepNext w:val="0"/>
        <w:keepLines w:val="0"/>
        <w:pageBreakBefore w:val="0"/>
        <w:kinsoku/>
        <w:wordWrap/>
        <w:overflowPunct/>
        <w:topLinePunct w:val="0"/>
        <w:autoSpaceDE/>
        <w:autoSpaceDN/>
        <w:bidi w:val="0"/>
        <w:adjustRightInd/>
        <w:snapToGrid/>
        <w:spacing w:line="560" w:lineRule="exact"/>
        <w:ind w:firstLine="755" w:firstLineChars="236"/>
        <w:jc w:val="both"/>
        <w:textAlignment w:val="auto"/>
        <w:rPr>
          <w:rFonts w:hint="eastAsia" w:ascii="仿宋_GB2312" w:hAnsi="仿宋_GB2312" w:eastAsia="仿宋_GB2312" w:cs="仿宋_GB2312"/>
          <w:bCs/>
          <w:kern w:val="0"/>
          <w:sz w:val="32"/>
          <w:szCs w:val="32"/>
          <w:lang w:val="en-US" w:eastAsia="zh-CN"/>
        </w:rPr>
      </w:pPr>
      <w:r>
        <w:rPr>
          <w:rFonts w:hint="eastAsia" w:ascii="仿宋_GB2312" w:hAnsi="仿宋_GB2312" w:eastAsia="仿宋_GB2312" w:cs="仿宋_GB2312"/>
          <w:bCs/>
          <w:kern w:val="0"/>
          <w:sz w:val="32"/>
          <w:szCs w:val="32"/>
        </w:rPr>
        <w:t>负责人（签章）：</w:t>
      </w:r>
      <w:r>
        <w:rPr>
          <w:rFonts w:hint="eastAsia" w:ascii="仿宋_GB2312" w:hAnsi="仿宋_GB2312" w:eastAsia="仿宋_GB2312" w:cs="仿宋_GB2312"/>
          <w:bCs/>
          <w:kern w:val="0"/>
          <w:sz w:val="32"/>
          <w:szCs w:val="32"/>
          <w:lang w:eastAsia="zh-CN"/>
        </w:rPr>
        <w:t>白广民</w:t>
      </w:r>
      <w:bookmarkStart w:id="0" w:name="_GoBack"/>
      <w:bookmarkEnd w:id="0"/>
    </w:p>
    <w:p>
      <w:pPr>
        <w:keepNext w:val="0"/>
        <w:keepLines w:val="0"/>
        <w:pageBreakBefore w:val="0"/>
        <w:kinsoku/>
        <w:wordWrap/>
        <w:overflowPunct/>
        <w:topLinePunct w:val="0"/>
        <w:autoSpaceDE/>
        <w:autoSpaceDN/>
        <w:bidi w:val="0"/>
        <w:adjustRightInd/>
        <w:snapToGrid/>
        <w:spacing w:line="560" w:lineRule="exact"/>
        <w:ind w:firstLine="755" w:firstLineChars="236"/>
        <w:jc w:val="both"/>
        <w:textAlignment w:val="auto"/>
        <w:rPr>
          <w:rFonts w:hint="eastAsia" w:ascii="仿宋_GB2312" w:hAnsi="仿宋_GB2312" w:eastAsia="仿宋_GB2312" w:cs="仿宋_GB2312"/>
          <w:bCs/>
          <w:kern w:val="0"/>
          <w:sz w:val="32"/>
          <w:szCs w:val="32"/>
        </w:rPr>
      </w:pPr>
    </w:p>
    <w:p>
      <w:pPr>
        <w:keepNext w:val="0"/>
        <w:keepLines w:val="0"/>
        <w:pageBreakBefore w:val="0"/>
        <w:kinsoku/>
        <w:wordWrap/>
        <w:overflowPunct/>
        <w:topLinePunct w:val="0"/>
        <w:autoSpaceDE/>
        <w:autoSpaceDN/>
        <w:bidi w:val="0"/>
        <w:adjustRightInd/>
        <w:snapToGrid/>
        <w:spacing w:line="560" w:lineRule="exact"/>
        <w:ind w:firstLine="755" w:firstLineChars="236"/>
        <w:jc w:val="both"/>
        <w:textAlignment w:val="auto"/>
        <w:rPr>
          <w:rStyle w:val="20"/>
          <w:rFonts w:hint="eastAsia" w:ascii="仿宋_GB2312" w:hAnsi="仿宋_GB2312" w:eastAsia="仿宋_GB2312" w:cs="仿宋_GB2312"/>
          <w:bCs w:val="0"/>
          <w:spacing w:val="-4"/>
          <w:sz w:val="32"/>
          <w:szCs w:val="32"/>
        </w:rPr>
      </w:pPr>
      <w:r>
        <w:rPr>
          <w:rFonts w:hint="eastAsia" w:ascii="仿宋_GB2312" w:hAnsi="仿宋_GB2312" w:eastAsia="仿宋_GB2312" w:cs="仿宋_GB2312"/>
          <w:bCs/>
          <w:kern w:val="0"/>
          <w:sz w:val="32"/>
          <w:szCs w:val="32"/>
        </w:rPr>
        <w:t>填报时间： 202</w:t>
      </w:r>
      <w:r>
        <w:rPr>
          <w:rFonts w:hint="eastAsia" w:ascii="仿宋_GB2312" w:hAnsi="仿宋_GB2312" w:eastAsia="仿宋_GB2312" w:cs="仿宋_GB2312"/>
          <w:bCs/>
          <w:kern w:val="0"/>
          <w:sz w:val="32"/>
          <w:szCs w:val="32"/>
          <w:lang w:val="en-US" w:eastAsia="zh-CN"/>
        </w:rPr>
        <w:t>3</w:t>
      </w:r>
      <w:r>
        <w:rPr>
          <w:rFonts w:hint="eastAsia" w:ascii="仿宋_GB2312" w:hAnsi="仿宋_GB2312" w:eastAsia="仿宋_GB2312" w:cs="仿宋_GB2312"/>
          <w:bCs/>
          <w:kern w:val="0"/>
          <w:sz w:val="32"/>
          <w:szCs w:val="32"/>
        </w:rPr>
        <w:t>年</w:t>
      </w:r>
      <w:r>
        <w:rPr>
          <w:rFonts w:hint="eastAsia" w:ascii="仿宋_GB2312" w:hAnsi="仿宋_GB2312" w:eastAsia="仿宋_GB2312" w:cs="仿宋_GB2312"/>
          <w:bCs/>
          <w:kern w:val="0"/>
          <w:sz w:val="32"/>
          <w:szCs w:val="32"/>
          <w:lang w:val="en-US" w:eastAsia="zh-CN"/>
        </w:rPr>
        <w:t>9</w:t>
      </w:r>
      <w:r>
        <w:rPr>
          <w:rFonts w:hint="eastAsia" w:ascii="仿宋_GB2312" w:hAnsi="仿宋_GB2312" w:eastAsia="仿宋_GB2312" w:cs="仿宋_GB2312"/>
          <w:bCs/>
          <w:kern w:val="0"/>
          <w:sz w:val="32"/>
          <w:szCs w:val="32"/>
        </w:rPr>
        <w:t>月</w:t>
      </w:r>
      <w:r>
        <w:rPr>
          <w:rFonts w:hint="eastAsia" w:ascii="仿宋_GB2312" w:hAnsi="仿宋_GB2312" w:eastAsia="仿宋_GB2312" w:cs="仿宋_GB2312"/>
          <w:bCs/>
          <w:kern w:val="0"/>
          <w:sz w:val="32"/>
          <w:szCs w:val="32"/>
          <w:lang w:val="en-US" w:eastAsia="zh-CN"/>
        </w:rPr>
        <w:t>11</w:t>
      </w:r>
      <w:r>
        <w:rPr>
          <w:rFonts w:hint="eastAsia" w:ascii="仿宋_GB2312" w:hAnsi="仿宋_GB2312" w:eastAsia="仿宋_GB2312" w:cs="仿宋_GB2312"/>
          <w:bCs/>
          <w:kern w:val="0"/>
          <w:sz w:val="32"/>
          <w:szCs w:val="32"/>
        </w:rPr>
        <w:t xml:space="preserve"> 日</w:t>
      </w:r>
    </w:p>
    <w:p>
      <w:pPr>
        <w:keepNext w:val="0"/>
        <w:keepLines w:val="0"/>
        <w:pageBreakBefore w:val="0"/>
        <w:kinsoku/>
        <w:wordWrap/>
        <w:overflowPunct/>
        <w:topLinePunct w:val="0"/>
        <w:autoSpaceDE/>
        <w:autoSpaceDN/>
        <w:bidi w:val="0"/>
        <w:adjustRightInd/>
        <w:snapToGrid/>
        <w:spacing w:line="560" w:lineRule="exact"/>
        <w:ind w:firstLine="640"/>
        <w:jc w:val="both"/>
        <w:textAlignment w:val="auto"/>
        <w:rPr>
          <w:rStyle w:val="20"/>
          <w:rFonts w:hint="eastAsia" w:ascii="黑体" w:hAnsi="黑体" w:eastAsia="黑体" w:cs="黑体"/>
          <w:b w:val="0"/>
          <w:bCs/>
          <w:spacing w:val="-4"/>
          <w:sz w:val="32"/>
          <w:szCs w:val="32"/>
        </w:rPr>
      </w:pPr>
      <w:r>
        <w:rPr>
          <w:rStyle w:val="20"/>
          <w:rFonts w:hint="eastAsia" w:ascii="黑体" w:hAnsi="黑体" w:eastAsia="黑体" w:cs="黑体"/>
          <w:b w:val="0"/>
          <w:bCs/>
          <w:spacing w:val="-4"/>
          <w:sz w:val="32"/>
          <w:szCs w:val="32"/>
        </w:rPr>
        <w:t>一、社会保险基金收支余总体情况</w:t>
      </w:r>
    </w:p>
    <w:p>
      <w:pPr>
        <w:keepNext w:val="0"/>
        <w:keepLines w:val="0"/>
        <w:pageBreakBefore w:val="0"/>
        <w:kinsoku/>
        <w:wordWrap/>
        <w:overflowPunct/>
        <w:topLinePunct w:val="0"/>
        <w:autoSpaceDE/>
        <w:autoSpaceDN/>
        <w:bidi w:val="0"/>
        <w:adjustRightInd/>
        <w:snapToGrid/>
        <w:spacing w:line="560" w:lineRule="exact"/>
        <w:ind w:firstLine="567"/>
        <w:jc w:val="both"/>
        <w:textAlignment w:val="auto"/>
        <w:rPr>
          <w:rStyle w:val="20"/>
          <w:rFonts w:hint="eastAsia" w:ascii="楷体_GB2312" w:hAnsi="楷体_GB2312" w:eastAsia="楷体_GB2312" w:cs="楷体_GB2312"/>
          <w:b w:val="0"/>
          <w:spacing w:val="-4"/>
          <w:sz w:val="32"/>
          <w:szCs w:val="32"/>
        </w:rPr>
      </w:pPr>
      <w:r>
        <w:rPr>
          <w:rStyle w:val="20"/>
          <w:rFonts w:hint="eastAsia" w:ascii="楷体_GB2312" w:hAnsi="楷体_GB2312" w:eastAsia="楷体_GB2312" w:cs="楷体_GB2312"/>
          <w:b w:val="0"/>
          <w:spacing w:val="-4"/>
          <w:sz w:val="32"/>
          <w:szCs w:val="32"/>
        </w:rPr>
        <w:t>（一）社会保险基金总体情况</w:t>
      </w:r>
    </w:p>
    <w:p>
      <w:pPr>
        <w:keepNext w:val="0"/>
        <w:keepLines w:val="0"/>
        <w:pageBreakBefore w:val="0"/>
        <w:tabs>
          <w:tab w:val="left" w:pos="0"/>
        </w:tab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202</w:t>
      </w:r>
      <w:r>
        <w:rPr>
          <w:rFonts w:hint="eastAsia" w:ascii="仿宋_GB2312" w:hAnsi="仿宋_GB2312" w:eastAsia="仿宋_GB2312" w:cs="仿宋_GB2312"/>
          <w:bCs/>
          <w:sz w:val="32"/>
          <w:szCs w:val="32"/>
          <w:highlight w:val="none"/>
          <w:lang w:val="en-US" w:eastAsia="zh-CN"/>
        </w:rPr>
        <w:t>2年</w:t>
      </w:r>
      <w:r>
        <w:rPr>
          <w:rFonts w:hint="eastAsia" w:ascii="仿宋_GB2312" w:hAnsi="仿宋_GB2312" w:eastAsia="仿宋_GB2312" w:cs="仿宋_GB2312"/>
          <w:bCs/>
          <w:sz w:val="32"/>
          <w:szCs w:val="32"/>
          <w:highlight w:val="none"/>
        </w:rPr>
        <w:t>，在高昌区领导的大力支持和共同努力下</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社会保险工作取得了显著成绩。各项社会保险基金收入稳步增长</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支出相对增加</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总体运行平稳。确保了广大参保人员各项社会保险待遇的按时、足额发放，各项保险覆盖面逐步扩大。在进一步加强社会保险基金预算管理的基础上，确保了各项基金的安全运营。</w:t>
      </w:r>
    </w:p>
    <w:p>
      <w:pPr>
        <w:keepNext w:val="0"/>
        <w:keepLines w:val="0"/>
        <w:pageBreakBefore w:val="0"/>
        <w:tabs>
          <w:tab w:val="left" w:pos="0"/>
        </w:tabs>
        <w:kinsoku/>
        <w:wordWrap/>
        <w:overflowPunct/>
        <w:topLinePunct w:val="0"/>
        <w:autoSpaceDE/>
        <w:autoSpaceDN/>
        <w:bidi w:val="0"/>
        <w:adjustRightInd/>
        <w:snapToGrid/>
        <w:spacing w:line="560" w:lineRule="exact"/>
        <w:ind w:firstLine="640" w:firstLineChars="200"/>
        <w:jc w:val="both"/>
        <w:textAlignment w:val="auto"/>
        <w:rPr>
          <w:rStyle w:val="20"/>
          <w:rFonts w:hint="eastAsia" w:ascii="仿宋_GB2312" w:hAnsi="仿宋_GB2312" w:eastAsia="仿宋_GB2312" w:cs="仿宋_GB2312"/>
          <w:b w:val="0"/>
          <w:spacing w:val="-4"/>
          <w:sz w:val="32"/>
          <w:szCs w:val="32"/>
          <w:highlight w:val="none"/>
        </w:rPr>
      </w:pPr>
      <w:r>
        <w:rPr>
          <w:rFonts w:hint="eastAsia" w:ascii="仿宋_GB2312" w:hAnsi="仿宋_GB2312" w:eastAsia="仿宋_GB2312" w:cs="仿宋_GB2312"/>
          <w:bCs/>
          <w:sz w:val="32"/>
          <w:szCs w:val="32"/>
          <w:highlight w:val="none"/>
        </w:rPr>
        <w:t>202</w:t>
      </w:r>
      <w:r>
        <w:rPr>
          <w:rFonts w:hint="eastAsia" w:ascii="仿宋_GB2312" w:hAnsi="仿宋_GB2312" w:eastAsia="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年区本级各项基金总收入</w:t>
      </w:r>
      <w:r>
        <w:rPr>
          <w:rFonts w:hint="eastAsia" w:ascii="仿宋_GB2312" w:hAnsi="仿宋_GB2312" w:eastAsia="仿宋_GB2312" w:cs="仿宋_GB2312"/>
          <w:bCs/>
          <w:sz w:val="32"/>
          <w:szCs w:val="32"/>
          <w:highlight w:val="none"/>
          <w:lang w:val="en-US" w:eastAsia="zh-CN"/>
        </w:rPr>
        <w:t>33860</w:t>
      </w:r>
      <w:r>
        <w:rPr>
          <w:rFonts w:hint="eastAsia" w:ascii="仿宋_GB2312" w:hAnsi="仿宋_GB2312" w:eastAsia="仿宋_GB2312" w:cs="仿宋_GB2312"/>
          <w:bCs/>
          <w:sz w:val="32"/>
          <w:szCs w:val="32"/>
          <w:highlight w:val="none"/>
        </w:rPr>
        <w:t>万元，较上年增加</w:t>
      </w:r>
      <w:r>
        <w:rPr>
          <w:rFonts w:hint="eastAsia" w:ascii="仿宋_GB2312" w:hAnsi="仿宋_GB2312" w:eastAsia="仿宋_GB2312" w:cs="仿宋_GB2312"/>
          <w:bCs/>
          <w:sz w:val="32"/>
          <w:szCs w:val="32"/>
          <w:highlight w:val="none"/>
          <w:lang w:val="en-US" w:eastAsia="zh-CN"/>
        </w:rPr>
        <w:t>565</w:t>
      </w:r>
      <w:r>
        <w:rPr>
          <w:rFonts w:hint="eastAsia" w:ascii="仿宋_GB2312" w:hAnsi="仿宋_GB2312" w:eastAsia="仿宋_GB2312" w:cs="仿宋_GB2312"/>
          <w:bCs/>
          <w:sz w:val="32"/>
          <w:szCs w:val="32"/>
          <w:highlight w:val="none"/>
        </w:rPr>
        <w:t>万元，增长</w:t>
      </w:r>
      <w:r>
        <w:rPr>
          <w:rFonts w:hint="eastAsia" w:ascii="仿宋_GB2312" w:hAnsi="仿宋_GB2312" w:eastAsia="仿宋_GB2312" w:cs="仿宋_GB2312"/>
          <w:bCs/>
          <w:sz w:val="32"/>
          <w:szCs w:val="32"/>
          <w:highlight w:val="none"/>
          <w:lang w:val="en-US" w:eastAsia="zh-CN"/>
        </w:rPr>
        <w:t>1.6</w:t>
      </w:r>
      <w:r>
        <w:rPr>
          <w:rFonts w:hint="eastAsia" w:ascii="仿宋_GB2312" w:hAnsi="仿宋_GB2312" w:eastAsia="仿宋_GB2312" w:cs="仿宋_GB2312"/>
          <w:bCs/>
          <w:sz w:val="32"/>
          <w:szCs w:val="32"/>
          <w:highlight w:val="none"/>
        </w:rPr>
        <w:t>%，完成年度预算</w:t>
      </w:r>
      <w:r>
        <w:rPr>
          <w:rFonts w:hint="eastAsia" w:ascii="仿宋_GB2312" w:hAnsi="仿宋_GB2312" w:eastAsia="仿宋_GB2312" w:cs="仿宋_GB2312"/>
          <w:bCs/>
          <w:sz w:val="32"/>
          <w:szCs w:val="32"/>
          <w:highlight w:val="none"/>
          <w:lang w:val="en-US" w:eastAsia="zh-CN"/>
        </w:rPr>
        <w:t>35687</w:t>
      </w:r>
      <w:r>
        <w:rPr>
          <w:rFonts w:hint="eastAsia" w:ascii="仿宋_GB2312" w:hAnsi="仿宋_GB2312" w:eastAsia="仿宋_GB2312" w:cs="仿宋_GB2312"/>
          <w:bCs/>
          <w:sz w:val="32"/>
          <w:szCs w:val="32"/>
          <w:highlight w:val="none"/>
        </w:rPr>
        <w:t>万元的</w:t>
      </w:r>
      <w:r>
        <w:rPr>
          <w:rFonts w:hint="eastAsia" w:ascii="仿宋_GB2312" w:hAnsi="仿宋_GB2312" w:eastAsia="仿宋_GB2312" w:cs="仿宋_GB2312"/>
          <w:bCs/>
          <w:sz w:val="32"/>
          <w:szCs w:val="32"/>
          <w:highlight w:val="none"/>
          <w:lang w:val="en-US" w:eastAsia="zh-CN"/>
        </w:rPr>
        <w:t>97.88</w:t>
      </w:r>
      <w:r>
        <w:rPr>
          <w:rFonts w:hint="eastAsia" w:ascii="仿宋_GB2312" w:hAnsi="仿宋_GB2312" w:eastAsia="仿宋_GB2312" w:cs="仿宋_GB2312"/>
          <w:bCs/>
          <w:sz w:val="32"/>
          <w:szCs w:val="32"/>
          <w:highlight w:val="none"/>
        </w:rPr>
        <w:t xml:space="preserve">%。各项基金总支出 </w:t>
      </w:r>
      <w:r>
        <w:rPr>
          <w:rFonts w:hint="eastAsia" w:ascii="仿宋_GB2312" w:hAnsi="仿宋_GB2312" w:eastAsia="仿宋_GB2312" w:cs="仿宋_GB2312"/>
          <w:bCs/>
          <w:sz w:val="32"/>
          <w:szCs w:val="32"/>
          <w:highlight w:val="none"/>
          <w:lang w:val="en-US" w:eastAsia="zh-CN"/>
        </w:rPr>
        <w:t>34345</w:t>
      </w:r>
      <w:r>
        <w:rPr>
          <w:rFonts w:hint="eastAsia" w:ascii="仿宋_GB2312" w:hAnsi="仿宋_GB2312" w:eastAsia="仿宋_GB2312" w:cs="仿宋_GB2312"/>
          <w:bCs/>
          <w:sz w:val="32"/>
          <w:szCs w:val="32"/>
          <w:highlight w:val="none"/>
        </w:rPr>
        <w:t>万元，较上</w:t>
      </w:r>
      <w:r>
        <w:rPr>
          <w:rFonts w:hint="eastAsia" w:ascii="仿宋_GB2312" w:hAnsi="仿宋_GB2312" w:eastAsia="仿宋_GB2312" w:cs="仿宋_GB2312"/>
          <w:bCs/>
          <w:spacing w:val="-4"/>
          <w:sz w:val="32"/>
          <w:szCs w:val="32"/>
          <w:highlight w:val="none"/>
        </w:rPr>
        <w:t>年增加</w:t>
      </w:r>
      <w:r>
        <w:rPr>
          <w:rFonts w:hint="eastAsia" w:ascii="仿宋_GB2312" w:hAnsi="仿宋_GB2312" w:eastAsia="仿宋_GB2312" w:cs="仿宋_GB2312"/>
          <w:bCs/>
          <w:spacing w:val="-4"/>
          <w:sz w:val="32"/>
          <w:szCs w:val="32"/>
          <w:highlight w:val="none"/>
          <w:lang w:val="en-US" w:eastAsia="zh-CN"/>
        </w:rPr>
        <w:t>6754</w:t>
      </w:r>
      <w:r>
        <w:rPr>
          <w:rFonts w:hint="eastAsia" w:ascii="仿宋_GB2312" w:hAnsi="仿宋_GB2312" w:eastAsia="仿宋_GB2312" w:cs="仿宋_GB2312"/>
          <w:bCs/>
          <w:spacing w:val="-4"/>
          <w:sz w:val="32"/>
          <w:szCs w:val="32"/>
          <w:highlight w:val="none"/>
        </w:rPr>
        <w:t>万元，增长</w:t>
      </w:r>
      <w:r>
        <w:rPr>
          <w:rFonts w:hint="eastAsia" w:ascii="仿宋_GB2312" w:hAnsi="仿宋_GB2312" w:eastAsia="仿宋_GB2312" w:cs="仿宋_GB2312"/>
          <w:bCs/>
          <w:spacing w:val="-4"/>
          <w:sz w:val="32"/>
          <w:szCs w:val="32"/>
          <w:highlight w:val="none"/>
          <w:lang w:val="en-US" w:eastAsia="zh-CN"/>
        </w:rPr>
        <w:t>24.47</w:t>
      </w:r>
      <w:r>
        <w:rPr>
          <w:rFonts w:hint="eastAsia" w:ascii="仿宋_GB2312" w:hAnsi="仿宋_GB2312" w:eastAsia="仿宋_GB2312" w:cs="仿宋_GB2312"/>
          <w:bCs/>
          <w:spacing w:val="-4"/>
          <w:sz w:val="32"/>
          <w:szCs w:val="32"/>
          <w:highlight w:val="none"/>
        </w:rPr>
        <w:t>%，完成年度总支出预算</w:t>
      </w:r>
      <w:r>
        <w:rPr>
          <w:rFonts w:hint="eastAsia" w:ascii="仿宋_GB2312" w:hAnsi="仿宋_GB2312" w:eastAsia="仿宋_GB2312" w:cs="仿宋_GB2312"/>
          <w:bCs/>
          <w:spacing w:val="-4"/>
          <w:sz w:val="32"/>
          <w:szCs w:val="32"/>
          <w:highlight w:val="none"/>
          <w:lang w:val="en-US" w:eastAsia="zh-CN"/>
        </w:rPr>
        <w:t>31870</w:t>
      </w:r>
      <w:r>
        <w:rPr>
          <w:rFonts w:hint="eastAsia" w:ascii="仿宋_GB2312" w:hAnsi="仿宋_GB2312" w:eastAsia="仿宋_GB2312" w:cs="仿宋_GB2312"/>
          <w:bCs/>
          <w:spacing w:val="-4"/>
          <w:sz w:val="32"/>
          <w:szCs w:val="32"/>
          <w:highlight w:val="none"/>
        </w:rPr>
        <w:t>万元的</w:t>
      </w:r>
      <w:r>
        <w:rPr>
          <w:rFonts w:hint="eastAsia" w:ascii="仿宋_GB2312" w:hAnsi="仿宋_GB2312" w:eastAsia="仿宋_GB2312" w:cs="仿宋_GB2312"/>
          <w:bCs/>
          <w:spacing w:val="-4"/>
          <w:sz w:val="32"/>
          <w:szCs w:val="32"/>
          <w:highlight w:val="none"/>
          <w:lang w:val="en-US" w:eastAsia="zh-CN"/>
        </w:rPr>
        <w:t>107.76</w:t>
      </w:r>
      <w:r>
        <w:rPr>
          <w:rFonts w:hint="eastAsia" w:ascii="仿宋_GB2312" w:hAnsi="仿宋_GB2312" w:eastAsia="仿宋_GB2312" w:cs="仿宋_GB2312"/>
          <w:bCs/>
          <w:spacing w:val="-4"/>
          <w:sz w:val="32"/>
          <w:szCs w:val="32"/>
          <w:highlight w:val="none"/>
        </w:rPr>
        <w:t>%</w:t>
      </w:r>
      <w:r>
        <w:rPr>
          <w:rFonts w:hint="eastAsia" w:ascii="仿宋_GB2312" w:hAnsi="仿宋_GB2312" w:eastAsia="仿宋_GB2312" w:cs="仿宋_GB2312"/>
          <w:bCs/>
          <w:sz w:val="32"/>
          <w:szCs w:val="32"/>
          <w:highlight w:val="none"/>
        </w:rPr>
        <w:t>。基金当期结余</w:t>
      </w:r>
      <w:r>
        <w:rPr>
          <w:rFonts w:hint="eastAsia" w:ascii="仿宋_GB2312" w:hAnsi="仿宋_GB2312" w:eastAsia="仿宋_GB2312" w:cs="仿宋_GB2312"/>
          <w:bCs/>
          <w:sz w:val="32"/>
          <w:szCs w:val="32"/>
          <w:highlight w:val="none"/>
          <w:lang w:val="en-US" w:eastAsia="zh-CN"/>
        </w:rPr>
        <w:t>-485</w:t>
      </w:r>
      <w:r>
        <w:rPr>
          <w:rFonts w:hint="eastAsia" w:ascii="仿宋_GB2312" w:hAnsi="仿宋_GB2312" w:eastAsia="仿宋_GB2312" w:cs="仿宋_GB2312"/>
          <w:bCs/>
          <w:sz w:val="32"/>
          <w:szCs w:val="32"/>
          <w:highlight w:val="none"/>
        </w:rPr>
        <w:t>万元，滚存结余</w:t>
      </w:r>
      <w:r>
        <w:rPr>
          <w:rFonts w:hint="eastAsia" w:ascii="仿宋_GB2312" w:hAnsi="仿宋_GB2312" w:eastAsia="仿宋_GB2312" w:cs="仿宋_GB2312"/>
          <w:bCs/>
          <w:sz w:val="32"/>
          <w:szCs w:val="32"/>
          <w:highlight w:val="none"/>
          <w:lang w:val="en-US" w:eastAsia="zh-CN"/>
        </w:rPr>
        <w:t>16098</w:t>
      </w:r>
      <w:r>
        <w:rPr>
          <w:rFonts w:hint="eastAsia" w:ascii="仿宋_GB2312" w:hAnsi="仿宋_GB2312" w:eastAsia="仿宋_GB2312" w:cs="仿宋_GB2312"/>
          <w:bCs/>
          <w:sz w:val="32"/>
          <w:szCs w:val="32"/>
          <w:highlight w:val="none"/>
        </w:rPr>
        <w:t>万元。（202</w:t>
      </w:r>
      <w:r>
        <w:rPr>
          <w:rFonts w:hint="eastAsia" w:ascii="仿宋_GB2312" w:hAnsi="仿宋_GB2312" w:eastAsia="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年决算对比数是202</w:t>
      </w:r>
      <w:r>
        <w:rPr>
          <w:rFonts w:hint="eastAsia" w:ascii="仿宋_GB2312" w:hAnsi="仿宋_GB2312" w:eastAsia="仿宋_GB2312" w:cs="仿宋_GB2312"/>
          <w:bCs/>
          <w:sz w:val="32"/>
          <w:szCs w:val="32"/>
          <w:highlight w:val="none"/>
          <w:lang w:val="en-US" w:eastAsia="zh-CN"/>
        </w:rPr>
        <w:t>1</w:t>
      </w:r>
      <w:r>
        <w:rPr>
          <w:rFonts w:hint="eastAsia" w:ascii="仿宋_GB2312" w:hAnsi="仿宋_GB2312" w:eastAsia="仿宋_GB2312" w:cs="仿宋_GB2312"/>
          <w:bCs/>
          <w:sz w:val="32"/>
          <w:szCs w:val="32"/>
          <w:highlight w:val="none"/>
        </w:rPr>
        <w:t>年决算中机关养老、城乡养老基金数据，预算对比数为202</w:t>
      </w:r>
      <w:r>
        <w:rPr>
          <w:rFonts w:hint="eastAsia" w:ascii="仿宋_GB2312" w:hAnsi="仿宋_GB2312" w:eastAsia="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年财政预算中机关、城乡数据）</w:t>
      </w:r>
    </w:p>
    <w:p>
      <w:pPr>
        <w:keepNext w:val="0"/>
        <w:keepLines w:val="0"/>
        <w:pageBreakBefore w:val="0"/>
        <w:kinsoku/>
        <w:wordWrap/>
        <w:overflowPunct/>
        <w:topLinePunct w:val="0"/>
        <w:autoSpaceDE/>
        <w:autoSpaceDN/>
        <w:bidi w:val="0"/>
        <w:adjustRightInd/>
        <w:snapToGrid/>
        <w:spacing w:line="560" w:lineRule="exact"/>
        <w:ind w:firstLine="567"/>
        <w:jc w:val="both"/>
        <w:textAlignment w:val="auto"/>
        <w:rPr>
          <w:rStyle w:val="20"/>
          <w:rFonts w:hint="eastAsia" w:ascii="楷体_GB2312" w:hAnsi="楷体_GB2312" w:eastAsia="楷体_GB2312" w:cs="楷体_GB2312"/>
          <w:b w:val="0"/>
          <w:spacing w:val="-4"/>
          <w:sz w:val="32"/>
          <w:szCs w:val="32"/>
        </w:rPr>
      </w:pPr>
      <w:r>
        <w:rPr>
          <w:rStyle w:val="20"/>
          <w:rFonts w:hint="eastAsia" w:ascii="楷体_GB2312" w:hAnsi="楷体_GB2312" w:eastAsia="楷体_GB2312" w:cs="楷体_GB2312"/>
          <w:b w:val="0"/>
          <w:spacing w:val="-4"/>
          <w:sz w:val="32"/>
          <w:szCs w:val="32"/>
        </w:rPr>
        <w:t>（二）社会保险基金支出预算绩效目标设定情况</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Cs/>
          <w:sz w:val="32"/>
          <w:szCs w:val="32"/>
          <w:highlight w:val="none"/>
          <w:lang w:val="en-US" w:eastAsia="zh-CN"/>
        </w:rPr>
      </w:pPr>
      <w:r>
        <w:rPr>
          <w:rFonts w:hint="eastAsia" w:ascii="仿宋_GB2312" w:hAnsi="仿宋_GB2312" w:eastAsia="仿宋_GB2312" w:cs="仿宋_GB2312"/>
          <w:bCs/>
          <w:sz w:val="32"/>
          <w:szCs w:val="32"/>
          <w:highlight w:val="none"/>
        </w:rPr>
        <w:t>202</w:t>
      </w:r>
      <w:r>
        <w:rPr>
          <w:rFonts w:hint="eastAsia" w:ascii="仿宋_GB2312" w:hAnsi="仿宋_GB2312" w:eastAsia="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年预算区本级机关事业养老保险（改革）基金总支出</w:t>
      </w:r>
      <w:r>
        <w:rPr>
          <w:rFonts w:hint="eastAsia" w:ascii="仿宋_GB2312" w:hAnsi="仿宋_GB2312" w:eastAsia="仿宋_GB2312" w:cs="仿宋_GB2312"/>
          <w:bCs/>
          <w:sz w:val="32"/>
          <w:szCs w:val="32"/>
          <w:highlight w:val="none"/>
          <w:lang w:val="en-US" w:eastAsia="zh-CN"/>
        </w:rPr>
        <w:t>27556</w:t>
      </w:r>
      <w:r>
        <w:rPr>
          <w:rFonts w:hint="eastAsia" w:ascii="仿宋_GB2312" w:hAnsi="仿宋_GB2312" w:eastAsia="仿宋_GB2312" w:cs="仿宋_GB2312"/>
          <w:bCs/>
          <w:sz w:val="32"/>
          <w:szCs w:val="32"/>
          <w:highlight w:val="none"/>
        </w:rPr>
        <w:t>万元，</w:t>
      </w:r>
      <w:r>
        <w:rPr>
          <w:rFonts w:hint="eastAsia" w:ascii="仿宋_GB2312" w:hAnsi="仿宋_GB2312" w:eastAsia="仿宋_GB2312" w:cs="仿宋_GB2312"/>
          <w:bCs/>
          <w:kern w:val="0"/>
          <w:sz w:val="32"/>
          <w:szCs w:val="32"/>
          <w:highlight w:val="none"/>
        </w:rPr>
        <w:t>基本</w:t>
      </w:r>
      <w:r>
        <w:rPr>
          <w:rFonts w:hint="eastAsia" w:ascii="仿宋_GB2312" w:hAnsi="仿宋_GB2312" w:eastAsia="仿宋_GB2312" w:cs="仿宋_GB2312"/>
          <w:bCs/>
          <w:sz w:val="32"/>
          <w:szCs w:val="32"/>
          <w:highlight w:val="none"/>
        </w:rPr>
        <w:t>养老金待遇支出</w:t>
      </w:r>
      <w:r>
        <w:rPr>
          <w:rFonts w:hint="eastAsia" w:ascii="仿宋_GB2312" w:hAnsi="仿宋_GB2312" w:eastAsia="仿宋_GB2312" w:cs="仿宋_GB2312"/>
          <w:bCs/>
          <w:sz w:val="32"/>
          <w:szCs w:val="32"/>
          <w:highlight w:val="none"/>
          <w:lang w:val="en-US" w:eastAsia="zh-CN"/>
        </w:rPr>
        <w:t>27497</w:t>
      </w:r>
      <w:r>
        <w:rPr>
          <w:rFonts w:hint="eastAsia" w:ascii="仿宋_GB2312" w:hAnsi="仿宋_GB2312" w:eastAsia="仿宋_GB2312" w:cs="仿宋_GB2312"/>
          <w:bCs/>
          <w:sz w:val="32"/>
          <w:szCs w:val="32"/>
          <w:highlight w:val="none"/>
        </w:rPr>
        <w:t>万元，全年保障离退休人员</w:t>
      </w:r>
      <w:r>
        <w:rPr>
          <w:rFonts w:hint="eastAsia" w:ascii="仿宋_GB2312" w:hAnsi="仿宋_GB2312" w:eastAsia="仿宋_GB2312" w:cs="仿宋_GB2312"/>
          <w:bCs/>
          <w:sz w:val="32"/>
          <w:szCs w:val="32"/>
          <w:highlight w:val="none"/>
          <w:lang w:val="en-US" w:eastAsia="zh-CN"/>
        </w:rPr>
        <w:t>4010</w:t>
      </w:r>
      <w:r>
        <w:rPr>
          <w:rFonts w:hint="eastAsia" w:ascii="仿宋_GB2312" w:hAnsi="仿宋_GB2312" w:eastAsia="仿宋_GB2312" w:cs="仿宋_GB2312"/>
          <w:bCs/>
          <w:sz w:val="32"/>
          <w:szCs w:val="32"/>
          <w:highlight w:val="none"/>
        </w:rPr>
        <w:t>人的基本养老金待遇发放。全年保障机关事业单位退休人员覆盖率</w:t>
      </w:r>
      <w:r>
        <w:rPr>
          <w:rFonts w:hint="eastAsia" w:ascii="仿宋_GB2312" w:hAnsi="仿宋_GB2312" w:eastAsia="仿宋_GB2312" w:cs="仿宋_GB2312"/>
          <w:bCs/>
          <w:sz w:val="32"/>
          <w:szCs w:val="32"/>
          <w:highlight w:val="none"/>
          <w:lang w:val="en-US" w:eastAsia="zh-CN"/>
        </w:rPr>
        <w:t>100%</w:t>
      </w:r>
      <w:r>
        <w:rPr>
          <w:rFonts w:hint="eastAsia" w:ascii="仿宋_GB2312" w:hAnsi="仿宋_GB2312" w:eastAsia="仿宋_GB2312" w:cs="仿宋_GB2312"/>
          <w:bCs/>
          <w:sz w:val="32"/>
          <w:szCs w:val="32"/>
          <w:highlight w:val="none"/>
        </w:rPr>
        <w:t>，高昌区本级承诺在每月25日前按时足额发放养老金，基础养老金待遇发放及时率</w:t>
      </w:r>
      <w:r>
        <w:rPr>
          <w:rFonts w:hint="eastAsia" w:ascii="仿宋_GB2312" w:hAnsi="仿宋_GB2312" w:eastAsia="仿宋_GB2312" w:cs="仿宋_GB2312"/>
          <w:bCs/>
          <w:sz w:val="32"/>
          <w:szCs w:val="32"/>
          <w:highlight w:val="none"/>
          <w:lang w:val="en-US" w:eastAsia="zh-CN"/>
        </w:rPr>
        <w:t>100</w:t>
      </w:r>
      <w:r>
        <w:rPr>
          <w:rFonts w:hint="eastAsia" w:ascii="仿宋_GB2312" w:hAnsi="仿宋_GB2312" w:eastAsia="仿宋_GB2312" w:cs="仿宋_GB2312"/>
          <w:bCs/>
          <w:sz w:val="32"/>
          <w:szCs w:val="32"/>
          <w:highlight w:val="none"/>
        </w:rPr>
        <w:t>％，机关事业单位退休人员满意度</w:t>
      </w:r>
      <w:r>
        <w:rPr>
          <w:rFonts w:hint="eastAsia" w:ascii="仿宋_GB2312" w:hAnsi="仿宋_GB2312" w:eastAsia="仿宋_GB2312" w:cs="仿宋_GB2312"/>
          <w:bCs/>
          <w:sz w:val="32"/>
          <w:szCs w:val="32"/>
          <w:highlight w:val="none"/>
          <w:lang w:eastAsia="zh-CN"/>
        </w:rPr>
        <w:t>达</w:t>
      </w:r>
      <w:r>
        <w:rPr>
          <w:rFonts w:hint="eastAsia" w:ascii="仿宋_GB2312" w:hAnsi="仿宋_GB2312" w:eastAsia="仿宋_GB2312" w:cs="仿宋_GB2312"/>
          <w:bCs/>
          <w:sz w:val="32"/>
          <w:szCs w:val="32"/>
          <w:highlight w:val="none"/>
          <w:lang w:val="en-US" w:eastAsia="zh-CN"/>
        </w:rPr>
        <w:t>95%。</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202</w:t>
      </w:r>
      <w:r>
        <w:rPr>
          <w:rFonts w:hint="eastAsia" w:ascii="仿宋_GB2312" w:hAnsi="仿宋_GB2312" w:eastAsia="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年预算区本级城乡居民养老保险基金总支出</w:t>
      </w:r>
      <w:r>
        <w:rPr>
          <w:rFonts w:hint="eastAsia" w:ascii="仿宋_GB2312" w:hAnsi="仿宋_GB2312" w:eastAsia="仿宋_GB2312" w:cs="仿宋_GB2312"/>
          <w:bCs/>
          <w:sz w:val="32"/>
          <w:szCs w:val="32"/>
          <w:highlight w:val="none"/>
          <w:lang w:val="en-US" w:eastAsia="zh-CN"/>
        </w:rPr>
        <w:t>4314</w:t>
      </w:r>
      <w:r>
        <w:rPr>
          <w:rFonts w:hint="eastAsia" w:ascii="仿宋_GB2312" w:hAnsi="仿宋_GB2312" w:eastAsia="仿宋_GB2312" w:cs="仿宋_GB2312"/>
          <w:bCs/>
          <w:sz w:val="32"/>
          <w:szCs w:val="32"/>
          <w:highlight w:val="none"/>
        </w:rPr>
        <w:t>万元，其中：城乡居民养老保险待遇支出</w:t>
      </w:r>
      <w:r>
        <w:rPr>
          <w:rFonts w:hint="eastAsia" w:ascii="仿宋_GB2312" w:hAnsi="仿宋_GB2312" w:eastAsia="仿宋_GB2312" w:cs="仿宋_GB2312"/>
          <w:bCs/>
          <w:sz w:val="32"/>
          <w:szCs w:val="32"/>
          <w:highlight w:val="none"/>
          <w:lang w:val="en-US" w:eastAsia="zh-CN"/>
        </w:rPr>
        <w:t>4306</w:t>
      </w:r>
      <w:r>
        <w:rPr>
          <w:rFonts w:hint="eastAsia" w:ascii="仿宋_GB2312" w:hAnsi="仿宋_GB2312" w:eastAsia="仿宋_GB2312" w:cs="仿宋_GB2312"/>
          <w:bCs/>
          <w:sz w:val="32"/>
          <w:szCs w:val="32"/>
          <w:highlight w:val="none"/>
        </w:rPr>
        <w:t>万元</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预算保障</w:t>
      </w:r>
      <w:r>
        <w:rPr>
          <w:rFonts w:hint="eastAsia" w:ascii="仿宋_GB2312" w:hAnsi="仿宋_GB2312" w:eastAsia="仿宋_GB2312" w:cs="仿宋_GB2312"/>
          <w:bCs/>
          <w:sz w:val="32"/>
          <w:szCs w:val="32"/>
          <w:highlight w:val="none"/>
          <w:lang w:val="en-US" w:eastAsia="zh-CN"/>
        </w:rPr>
        <w:t>22447</w:t>
      </w:r>
      <w:r>
        <w:rPr>
          <w:rFonts w:hint="eastAsia" w:ascii="仿宋_GB2312" w:hAnsi="仿宋_GB2312" w:eastAsia="仿宋_GB2312" w:cs="仿宋_GB2312"/>
          <w:bCs/>
          <w:sz w:val="32"/>
          <w:szCs w:val="32"/>
          <w:highlight w:val="none"/>
        </w:rPr>
        <w:t>名退休人员养老保险待遇问题。全年基础养老金发放到位率100%，高昌区本级承诺在每月25日前按时足额发放各项待遇，中央基础养老金标准≧93元/人/月</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充分发挥社会保险的职能作用让离退休人员安享晚年，群众对城乡居民养老保险制度的满意度95%以上。</w:t>
      </w:r>
    </w:p>
    <w:p>
      <w:pPr>
        <w:keepNext w:val="0"/>
        <w:keepLines w:val="0"/>
        <w:pageBreakBefore w:val="0"/>
        <w:kinsoku/>
        <w:wordWrap/>
        <w:overflowPunct/>
        <w:topLinePunct w:val="0"/>
        <w:autoSpaceDE/>
        <w:autoSpaceDN/>
        <w:bidi w:val="0"/>
        <w:adjustRightInd/>
        <w:snapToGrid/>
        <w:spacing w:line="560" w:lineRule="exact"/>
        <w:ind w:firstLine="640"/>
        <w:jc w:val="both"/>
        <w:textAlignment w:val="auto"/>
        <w:rPr>
          <w:rStyle w:val="20"/>
          <w:rFonts w:hint="eastAsia" w:ascii="黑体" w:hAnsi="黑体" w:eastAsia="黑体" w:cs="黑体"/>
          <w:b w:val="0"/>
          <w:bCs/>
          <w:spacing w:val="-4"/>
          <w:sz w:val="32"/>
          <w:szCs w:val="32"/>
        </w:rPr>
      </w:pPr>
      <w:r>
        <w:rPr>
          <w:rStyle w:val="20"/>
          <w:rFonts w:hint="eastAsia" w:ascii="黑体" w:hAnsi="黑体" w:eastAsia="黑体" w:cs="黑体"/>
          <w:b w:val="0"/>
          <w:bCs/>
          <w:spacing w:val="-4"/>
          <w:sz w:val="32"/>
          <w:szCs w:val="32"/>
        </w:rPr>
        <w:t>二、各项社会保险基金预算完成及运行情况</w:t>
      </w:r>
    </w:p>
    <w:p>
      <w:pPr>
        <w:keepNext w:val="0"/>
        <w:keepLines w:val="0"/>
        <w:pageBreakBefore w:val="0"/>
        <w:kinsoku/>
        <w:wordWrap/>
        <w:overflowPunct/>
        <w:topLinePunct w:val="0"/>
        <w:autoSpaceDE/>
        <w:autoSpaceDN/>
        <w:bidi w:val="0"/>
        <w:adjustRightInd/>
        <w:snapToGrid/>
        <w:spacing w:line="560" w:lineRule="exact"/>
        <w:ind w:firstLine="567"/>
        <w:jc w:val="both"/>
        <w:textAlignment w:val="auto"/>
        <w:rPr>
          <w:rStyle w:val="20"/>
          <w:rFonts w:hint="eastAsia" w:ascii="楷体_GB2312" w:hAnsi="楷体_GB2312" w:eastAsia="楷体_GB2312" w:cs="楷体_GB2312"/>
          <w:b w:val="0"/>
          <w:spacing w:val="-4"/>
          <w:sz w:val="32"/>
          <w:szCs w:val="32"/>
        </w:rPr>
      </w:pPr>
      <w:r>
        <w:rPr>
          <w:rStyle w:val="20"/>
          <w:rFonts w:hint="eastAsia" w:ascii="楷体_GB2312" w:hAnsi="楷体_GB2312" w:eastAsia="楷体_GB2312" w:cs="楷体_GB2312"/>
          <w:b w:val="0"/>
          <w:spacing w:val="-4"/>
          <w:sz w:val="32"/>
          <w:szCs w:val="32"/>
        </w:rPr>
        <w:t>（一）机关事业单位养老保险基金预算完成及运行情况分析</w:t>
      </w:r>
    </w:p>
    <w:p>
      <w:pPr>
        <w:keepNext w:val="0"/>
        <w:keepLines w:val="0"/>
        <w:pageBreakBefore w:val="0"/>
        <w:kinsoku/>
        <w:wordWrap/>
        <w:overflowPunct/>
        <w:topLinePunct w:val="0"/>
        <w:autoSpaceDE/>
        <w:autoSpaceDN/>
        <w:bidi w:val="0"/>
        <w:adjustRightInd/>
        <w:snapToGrid/>
        <w:spacing w:line="560" w:lineRule="exact"/>
        <w:ind w:firstLine="800" w:firstLineChars="250"/>
        <w:jc w:val="both"/>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202</w:t>
      </w:r>
      <w:r>
        <w:rPr>
          <w:rFonts w:hint="eastAsia" w:ascii="仿宋_GB2312" w:hAnsi="仿宋_GB2312" w:eastAsia="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年度机关事业单位养老保险基金收入</w:t>
      </w:r>
      <w:r>
        <w:rPr>
          <w:rFonts w:hint="eastAsia" w:ascii="仿宋_GB2312" w:hAnsi="仿宋_GB2312" w:eastAsia="仿宋_GB2312" w:cs="仿宋_GB2312"/>
          <w:bCs/>
          <w:sz w:val="32"/>
          <w:szCs w:val="32"/>
          <w:highlight w:val="none"/>
          <w:lang w:val="en-US" w:eastAsia="zh-CN"/>
        </w:rPr>
        <w:t>29138</w:t>
      </w:r>
      <w:r>
        <w:rPr>
          <w:rFonts w:hint="eastAsia" w:ascii="仿宋_GB2312" w:hAnsi="仿宋_GB2312" w:eastAsia="仿宋_GB2312" w:cs="仿宋_GB2312"/>
          <w:bCs/>
          <w:sz w:val="32"/>
          <w:szCs w:val="32"/>
          <w:highlight w:val="none"/>
        </w:rPr>
        <w:t>元，其中：保险费收入</w:t>
      </w:r>
      <w:r>
        <w:rPr>
          <w:rFonts w:hint="eastAsia" w:ascii="仿宋_GB2312" w:hAnsi="仿宋_GB2312" w:eastAsia="仿宋_GB2312" w:cs="仿宋_GB2312"/>
          <w:bCs/>
          <w:sz w:val="32"/>
          <w:szCs w:val="32"/>
          <w:highlight w:val="none"/>
          <w:lang w:val="en-US" w:eastAsia="zh-CN"/>
        </w:rPr>
        <w:t>23658</w:t>
      </w:r>
      <w:r>
        <w:rPr>
          <w:rFonts w:hint="eastAsia" w:ascii="仿宋_GB2312" w:hAnsi="仿宋_GB2312" w:eastAsia="仿宋_GB2312" w:cs="仿宋_GB2312"/>
          <w:bCs/>
          <w:sz w:val="32"/>
          <w:szCs w:val="32"/>
          <w:highlight w:val="none"/>
        </w:rPr>
        <w:t>万元、利息收入</w:t>
      </w:r>
      <w:r>
        <w:rPr>
          <w:rFonts w:hint="eastAsia" w:ascii="仿宋_GB2312" w:hAnsi="仿宋_GB2312" w:eastAsia="仿宋_GB2312" w:cs="仿宋_GB2312"/>
          <w:bCs/>
          <w:sz w:val="32"/>
          <w:szCs w:val="32"/>
          <w:highlight w:val="none"/>
          <w:lang w:val="en-US" w:eastAsia="zh-CN"/>
        </w:rPr>
        <w:t>9</w:t>
      </w:r>
      <w:r>
        <w:rPr>
          <w:rFonts w:hint="eastAsia" w:ascii="仿宋_GB2312" w:hAnsi="仿宋_GB2312" w:eastAsia="仿宋_GB2312" w:cs="仿宋_GB2312"/>
          <w:bCs/>
          <w:sz w:val="32"/>
          <w:szCs w:val="32"/>
          <w:highlight w:val="none"/>
        </w:rPr>
        <w:t>万元、财政补贴收入</w:t>
      </w:r>
      <w:r>
        <w:rPr>
          <w:rFonts w:hint="eastAsia" w:ascii="仿宋_GB2312" w:hAnsi="仿宋_GB2312" w:eastAsia="仿宋_GB2312" w:cs="仿宋_GB2312"/>
          <w:bCs/>
          <w:sz w:val="32"/>
          <w:szCs w:val="32"/>
          <w:highlight w:val="none"/>
          <w:lang w:val="en-US" w:eastAsia="zh-CN"/>
        </w:rPr>
        <w:t>2632</w:t>
      </w:r>
      <w:r>
        <w:rPr>
          <w:rFonts w:hint="eastAsia" w:ascii="仿宋_GB2312" w:hAnsi="仿宋_GB2312" w:eastAsia="仿宋_GB2312" w:cs="仿宋_GB2312"/>
          <w:bCs/>
          <w:sz w:val="32"/>
          <w:szCs w:val="32"/>
          <w:highlight w:val="none"/>
        </w:rPr>
        <w:t>万元，其他收入</w:t>
      </w:r>
      <w:r>
        <w:rPr>
          <w:rFonts w:hint="eastAsia" w:ascii="仿宋_GB2312" w:hAnsi="仿宋_GB2312" w:eastAsia="仿宋_GB2312" w:cs="仿宋_GB2312"/>
          <w:bCs/>
          <w:sz w:val="32"/>
          <w:szCs w:val="32"/>
          <w:highlight w:val="none"/>
          <w:lang w:val="en-US" w:eastAsia="zh-CN"/>
        </w:rPr>
        <w:t>215</w:t>
      </w:r>
      <w:r>
        <w:rPr>
          <w:rFonts w:hint="eastAsia" w:ascii="仿宋_GB2312" w:hAnsi="仿宋_GB2312" w:eastAsia="仿宋_GB2312" w:cs="仿宋_GB2312"/>
          <w:bCs/>
          <w:sz w:val="32"/>
          <w:szCs w:val="32"/>
          <w:highlight w:val="none"/>
        </w:rPr>
        <w:t>万元，转移收入</w:t>
      </w:r>
      <w:r>
        <w:rPr>
          <w:rFonts w:hint="eastAsia" w:ascii="仿宋_GB2312" w:hAnsi="仿宋_GB2312" w:eastAsia="仿宋_GB2312" w:cs="仿宋_GB2312"/>
          <w:bCs/>
          <w:sz w:val="32"/>
          <w:szCs w:val="32"/>
          <w:highlight w:val="none"/>
          <w:lang w:val="en-US" w:eastAsia="zh-CN"/>
        </w:rPr>
        <w:t>103</w:t>
      </w:r>
      <w:r>
        <w:rPr>
          <w:rFonts w:hint="eastAsia" w:ascii="仿宋_GB2312" w:hAnsi="仿宋_GB2312" w:eastAsia="仿宋_GB2312" w:cs="仿宋_GB2312"/>
          <w:bCs/>
          <w:sz w:val="32"/>
          <w:szCs w:val="32"/>
          <w:highlight w:val="none"/>
        </w:rPr>
        <w:t>万元。基金总支出</w:t>
      </w:r>
      <w:r>
        <w:rPr>
          <w:rFonts w:hint="eastAsia" w:ascii="仿宋_GB2312" w:hAnsi="仿宋_GB2312" w:eastAsia="仿宋_GB2312" w:cs="仿宋_GB2312"/>
          <w:bCs/>
          <w:sz w:val="32"/>
          <w:szCs w:val="32"/>
          <w:highlight w:val="none"/>
          <w:lang w:val="en-US" w:eastAsia="zh-CN"/>
        </w:rPr>
        <w:t>30088</w:t>
      </w:r>
      <w:r>
        <w:rPr>
          <w:rFonts w:hint="eastAsia" w:ascii="仿宋_GB2312" w:hAnsi="仿宋_GB2312" w:eastAsia="仿宋_GB2312" w:cs="仿宋_GB2312"/>
          <w:bCs/>
          <w:sz w:val="32"/>
          <w:szCs w:val="32"/>
          <w:highlight w:val="none"/>
        </w:rPr>
        <w:t>万元，其中：基本养老金支出</w:t>
      </w:r>
      <w:r>
        <w:rPr>
          <w:rFonts w:hint="eastAsia" w:ascii="仿宋_GB2312" w:hAnsi="仿宋_GB2312" w:eastAsia="仿宋_GB2312" w:cs="仿宋_GB2312"/>
          <w:bCs/>
          <w:sz w:val="32"/>
          <w:szCs w:val="32"/>
          <w:highlight w:val="none"/>
          <w:lang w:val="en-US" w:eastAsia="zh-CN"/>
        </w:rPr>
        <w:t>30061</w:t>
      </w:r>
      <w:r>
        <w:rPr>
          <w:rFonts w:hint="eastAsia" w:ascii="仿宋_GB2312" w:hAnsi="仿宋_GB2312" w:eastAsia="仿宋_GB2312" w:cs="仿宋_GB2312"/>
          <w:bCs/>
          <w:sz w:val="32"/>
          <w:szCs w:val="32"/>
          <w:highlight w:val="none"/>
        </w:rPr>
        <w:t>万元。基金当期结余</w:t>
      </w:r>
      <w:r>
        <w:rPr>
          <w:rFonts w:hint="eastAsia" w:ascii="仿宋_GB2312" w:hAnsi="仿宋_GB2312" w:eastAsia="仿宋_GB2312" w:cs="仿宋_GB2312"/>
          <w:bCs/>
          <w:sz w:val="32"/>
          <w:szCs w:val="32"/>
          <w:highlight w:val="none"/>
          <w:lang w:val="en-US" w:eastAsia="zh-CN"/>
        </w:rPr>
        <w:t>-950</w:t>
      </w:r>
      <w:r>
        <w:rPr>
          <w:rFonts w:hint="eastAsia" w:ascii="仿宋_GB2312" w:hAnsi="仿宋_GB2312" w:eastAsia="仿宋_GB2312" w:cs="仿宋_GB2312"/>
          <w:bCs/>
          <w:sz w:val="32"/>
          <w:szCs w:val="32"/>
          <w:highlight w:val="none"/>
        </w:rPr>
        <w:t>万元，滚存结余</w:t>
      </w:r>
      <w:r>
        <w:rPr>
          <w:rFonts w:hint="eastAsia" w:ascii="仿宋_GB2312" w:hAnsi="仿宋_GB2312" w:eastAsia="仿宋_GB2312" w:cs="仿宋_GB2312"/>
          <w:bCs/>
          <w:sz w:val="32"/>
          <w:szCs w:val="32"/>
          <w:highlight w:val="none"/>
          <w:lang w:val="en-US" w:eastAsia="zh-CN"/>
        </w:rPr>
        <w:t>108</w:t>
      </w:r>
      <w:r>
        <w:rPr>
          <w:rFonts w:hint="eastAsia" w:ascii="仿宋_GB2312" w:hAnsi="仿宋_GB2312" w:eastAsia="仿宋_GB2312" w:cs="仿宋_GB2312"/>
          <w:bCs/>
          <w:sz w:val="32"/>
          <w:szCs w:val="32"/>
          <w:highlight w:val="none"/>
        </w:rPr>
        <w:t>万元。</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202</w:t>
      </w:r>
      <w:r>
        <w:rPr>
          <w:rFonts w:hint="eastAsia" w:ascii="仿宋_GB2312" w:hAnsi="仿宋_GB2312" w:eastAsia="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年度机关事业单位养老保险基金支出</w:t>
      </w:r>
      <w:r>
        <w:rPr>
          <w:rFonts w:hint="eastAsia" w:ascii="仿宋_GB2312" w:hAnsi="仿宋_GB2312" w:eastAsia="仿宋_GB2312" w:cs="仿宋_GB2312"/>
          <w:bCs/>
          <w:sz w:val="32"/>
          <w:szCs w:val="32"/>
          <w:highlight w:val="none"/>
          <w:lang w:val="en-US" w:eastAsia="zh-CN"/>
        </w:rPr>
        <w:t>30088</w:t>
      </w:r>
      <w:r>
        <w:rPr>
          <w:rFonts w:hint="eastAsia" w:ascii="仿宋_GB2312" w:hAnsi="仿宋_GB2312" w:eastAsia="仿宋_GB2312" w:cs="仿宋_GB2312"/>
          <w:bCs/>
          <w:sz w:val="32"/>
          <w:szCs w:val="32"/>
          <w:highlight w:val="none"/>
        </w:rPr>
        <w:t>万元，较上年增加</w:t>
      </w:r>
      <w:r>
        <w:rPr>
          <w:rFonts w:hint="eastAsia" w:ascii="仿宋_GB2312" w:hAnsi="仿宋_GB2312" w:eastAsia="仿宋_GB2312" w:cs="仿宋_GB2312"/>
          <w:bCs/>
          <w:sz w:val="32"/>
          <w:szCs w:val="32"/>
          <w:highlight w:val="none"/>
          <w:lang w:val="en-US" w:eastAsia="zh-CN"/>
        </w:rPr>
        <w:t>6657</w:t>
      </w:r>
      <w:r>
        <w:rPr>
          <w:rFonts w:hint="eastAsia" w:ascii="仿宋_GB2312" w:hAnsi="仿宋_GB2312" w:eastAsia="仿宋_GB2312" w:cs="仿宋_GB2312"/>
          <w:bCs/>
          <w:sz w:val="32"/>
          <w:szCs w:val="32"/>
          <w:highlight w:val="none"/>
        </w:rPr>
        <w:t>万元，增长</w:t>
      </w:r>
      <w:r>
        <w:rPr>
          <w:rFonts w:hint="eastAsia" w:ascii="仿宋_GB2312" w:hAnsi="仿宋_GB2312" w:eastAsia="仿宋_GB2312" w:cs="仿宋_GB2312"/>
          <w:bCs/>
          <w:sz w:val="32"/>
          <w:szCs w:val="32"/>
          <w:highlight w:val="none"/>
          <w:lang w:val="en-US" w:eastAsia="zh-CN"/>
        </w:rPr>
        <w:t>28.41</w:t>
      </w:r>
      <w:r>
        <w:rPr>
          <w:rFonts w:hint="eastAsia" w:ascii="仿宋_GB2312" w:hAnsi="仿宋_GB2312" w:eastAsia="仿宋_GB2312" w:cs="仿宋_GB2312"/>
          <w:bCs/>
          <w:sz w:val="32"/>
          <w:szCs w:val="32"/>
          <w:highlight w:val="none"/>
        </w:rPr>
        <w:t>%，完成全年预算支出</w:t>
      </w:r>
      <w:r>
        <w:rPr>
          <w:rFonts w:hint="eastAsia" w:ascii="仿宋_GB2312" w:hAnsi="仿宋_GB2312" w:eastAsia="仿宋_GB2312" w:cs="仿宋_GB2312"/>
          <w:bCs/>
          <w:sz w:val="32"/>
          <w:szCs w:val="32"/>
          <w:highlight w:val="none"/>
          <w:lang w:val="en-US" w:eastAsia="zh-CN"/>
        </w:rPr>
        <w:t>27557</w:t>
      </w:r>
      <w:r>
        <w:rPr>
          <w:rFonts w:hint="eastAsia" w:ascii="仿宋_GB2312" w:hAnsi="仿宋_GB2312" w:eastAsia="仿宋_GB2312" w:cs="仿宋_GB2312"/>
          <w:bCs/>
          <w:sz w:val="32"/>
          <w:szCs w:val="32"/>
          <w:highlight w:val="none"/>
        </w:rPr>
        <w:t>万元的</w:t>
      </w:r>
      <w:r>
        <w:rPr>
          <w:rFonts w:hint="eastAsia" w:ascii="仿宋_GB2312" w:hAnsi="仿宋_GB2312" w:eastAsia="仿宋_GB2312" w:cs="仿宋_GB2312"/>
          <w:bCs/>
          <w:sz w:val="32"/>
          <w:szCs w:val="32"/>
          <w:highlight w:val="none"/>
          <w:lang w:val="en-US" w:eastAsia="zh-CN"/>
        </w:rPr>
        <w:t>109.18</w:t>
      </w:r>
      <w:r>
        <w:rPr>
          <w:rFonts w:hint="eastAsia" w:ascii="仿宋_GB2312" w:hAnsi="仿宋_GB2312" w:eastAsia="仿宋_GB2312" w:cs="仿宋_GB2312"/>
          <w:bCs/>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567"/>
        <w:jc w:val="both"/>
        <w:textAlignment w:val="auto"/>
        <w:rPr>
          <w:rStyle w:val="20"/>
          <w:rFonts w:hint="eastAsia" w:ascii="楷体_GB2312" w:hAnsi="楷体_GB2312" w:eastAsia="楷体_GB2312" w:cs="楷体_GB2312"/>
          <w:b w:val="0"/>
          <w:spacing w:val="-4"/>
          <w:sz w:val="32"/>
          <w:szCs w:val="32"/>
        </w:rPr>
      </w:pPr>
      <w:r>
        <w:rPr>
          <w:rStyle w:val="20"/>
          <w:rFonts w:hint="eastAsia" w:ascii="楷体_GB2312" w:hAnsi="楷体_GB2312" w:eastAsia="楷体_GB2312" w:cs="楷体_GB2312"/>
          <w:b w:val="0"/>
          <w:spacing w:val="-4"/>
          <w:sz w:val="32"/>
          <w:szCs w:val="32"/>
        </w:rPr>
        <w:t>（二）城乡居民养老保险基金预算完成及运行情况分析</w:t>
      </w:r>
    </w:p>
    <w:p>
      <w:pPr>
        <w:keepNext w:val="0"/>
        <w:keepLines w:val="0"/>
        <w:pageBreakBefore w:val="0"/>
        <w:kinsoku/>
        <w:wordWrap/>
        <w:overflowPunct/>
        <w:topLinePunct w:val="0"/>
        <w:autoSpaceDE/>
        <w:autoSpaceDN/>
        <w:bidi w:val="0"/>
        <w:adjustRightInd/>
        <w:snapToGrid/>
        <w:spacing w:line="560" w:lineRule="exact"/>
        <w:ind w:firstLine="537" w:firstLineChars="168"/>
        <w:jc w:val="both"/>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202</w:t>
      </w:r>
      <w:r>
        <w:rPr>
          <w:rFonts w:hint="eastAsia" w:ascii="仿宋_GB2312" w:hAnsi="仿宋_GB2312" w:eastAsia="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年度区本级城乡居民养老保险基金总收入</w:t>
      </w:r>
      <w:r>
        <w:rPr>
          <w:rFonts w:hint="eastAsia" w:ascii="仿宋_GB2312" w:hAnsi="仿宋_GB2312" w:eastAsia="仿宋_GB2312" w:cs="仿宋_GB2312"/>
          <w:bCs/>
          <w:sz w:val="32"/>
          <w:szCs w:val="32"/>
          <w:highlight w:val="none"/>
          <w:lang w:val="en-US" w:eastAsia="zh-CN"/>
        </w:rPr>
        <w:t>4722</w:t>
      </w:r>
      <w:r>
        <w:rPr>
          <w:rFonts w:hint="eastAsia" w:ascii="仿宋_GB2312" w:hAnsi="仿宋_GB2312" w:eastAsia="仿宋_GB2312" w:cs="仿宋_GB2312"/>
          <w:bCs/>
          <w:sz w:val="32"/>
          <w:szCs w:val="32"/>
          <w:highlight w:val="none"/>
        </w:rPr>
        <w:t>万元，其中：保费收入</w:t>
      </w:r>
      <w:r>
        <w:rPr>
          <w:rFonts w:hint="eastAsia" w:ascii="仿宋_GB2312" w:hAnsi="仿宋_GB2312" w:eastAsia="仿宋_GB2312" w:cs="仿宋_GB2312"/>
          <w:bCs/>
          <w:sz w:val="32"/>
          <w:szCs w:val="32"/>
          <w:highlight w:val="none"/>
          <w:lang w:val="en-US" w:eastAsia="zh-CN"/>
        </w:rPr>
        <w:t>1429</w:t>
      </w:r>
      <w:r>
        <w:rPr>
          <w:rFonts w:hint="eastAsia" w:ascii="仿宋_GB2312" w:hAnsi="仿宋_GB2312" w:eastAsia="仿宋_GB2312" w:cs="仿宋_GB2312"/>
          <w:bCs/>
          <w:sz w:val="32"/>
          <w:szCs w:val="32"/>
          <w:highlight w:val="none"/>
        </w:rPr>
        <w:t>万元，利息收入</w:t>
      </w:r>
      <w:r>
        <w:rPr>
          <w:rFonts w:hint="eastAsia" w:ascii="仿宋_GB2312" w:hAnsi="仿宋_GB2312" w:eastAsia="仿宋_GB2312" w:cs="仿宋_GB2312"/>
          <w:bCs/>
          <w:sz w:val="32"/>
          <w:szCs w:val="32"/>
          <w:highlight w:val="none"/>
          <w:lang w:val="en-US" w:eastAsia="zh-CN"/>
        </w:rPr>
        <w:t>115</w:t>
      </w:r>
      <w:r>
        <w:rPr>
          <w:rFonts w:hint="eastAsia" w:ascii="仿宋_GB2312" w:hAnsi="仿宋_GB2312" w:eastAsia="仿宋_GB2312" w:cs="仿宋_GB2312"/>
          <w:bCs/>
          <w:sz w:val="32"/>
          <w:szCs w:val="32"/>
          <w:highlight w:val="none"/>
        </w:rPr>
        <w:t>万元，财政补贴收入</w:t>
      </w:r>
      <w:r>
        <w:rPr>
          <w:rFonts w:hint="eastAsia" w:ascii="仿宋_GB2312" w:hAnsi="仿宋_GB2312" w:eastAsia="仿宋_GB2312" w:cs="仿宋_GB2312"/>
          <w:bCs/>
          <w:sz w:val="32"/>
          <w:szCs w:val="32"/>
          <w:highlight w:val="none"/>
          <w:lang w:val="en-US" w:eastAsia="zh-CN"/>
        </w:rPr>
        <w:t>3119</w:t>
      </w:r>
      <w:r>
        <w:rPr>
          <w:rFonts w:hint="eastAsia" w:ascii="仿宋_GB2312" w:hAnsi="仿宋_GB2312" w:eastAsia="仿宋_GB2312" w:cs="仿宋_GB2312"/>
          <w:bCs/>
          <w:sz w:val="32"/>
          <w:szCs w:val="32"/>
          <w:highlight w:val="none"/>
        </w:rPr>
        <w:t>万元，委托投资收益</w:t>
      </w:r>
      <w:r>
        <w:rPr>
          <w:rFonts w:hint="eastAsia" w:ascii="仿宋_GB2312" w:hAnsi="仿宋_GB2312" w:eastAsia="仿宋_GB2312" w:cs="仿宋_GB2312"/>
          <w:bCs/>
          <w:sz w:val="32"/>
          <w:szCs w:val="32"/>
          <w:highlight w:val="none"/>
          <w:lang w:val="en-US" w:eastAsia="zh-CN"/>
        </w:rPr>
        <w:t>12</w:t>
      </w:r>
      <w:r>
        <w:rPr>
          <w:rFonts w:hint="eastAsia" w:ascii="仿宋_GB2312" w:hAnsi="仿宋_GB2312" w:eastAsia="仿宋_GB2312" w:cs="仿宋_GB2312"/>
          <w:bCs/>
          <w:sz w:val="32"/>
          <w:szCs w:val="32"/>
          <w:highlight w:val="none"/>
        </w:rPr>
        <w:t>万元，转移收入</w:t>
      </w:r>
      <w:r>
        <w:rPr>
          <w:rFonts w:hint="eastAsia" w:ascii="仿宋_GB2312" w:hAnsi="仿宋_GB2312" w:eastAsia="仿宋_GB2312" w:cs="仿宋_GB2312"/>
          <w:bCs/>
          <w:sz w:val="32"/>
          <w:szCs w:val="32"/>
          <w:highlight w:val="none"/>
          <w:lang w:val="en-US" w:eastAsia="zh-CN"/>
        </w:rPr>
        <w:t>21</w:t>
      </w:r>
      <w:r>
        <w:rPr>
          <w:rFonts w:hint="eastAsia" w:ascii="仿宋_GB2312" w:hAnsi="仿宋_GB2312" w:eastAsia="仿宋_GB2312" w:cs="仿宋_GB2312"/>
          <w:bCs/>
          <w:sz w:val="32"/>
          <w:szCs w:val="32"/>
          <w:highlight w:val="none"/>
        </w:rPr>
        <w:t>万元</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其他收入</w:t>
      </w:r>
      <w:r>
        <w:rPr>
          <w:rFonts w:hint="eastAsia" w:ascii="仿宋_GB2312" w:hAnsi="仿宋_GB2312" w:eastAsia="仿宋_GB2312" w:cs="仿宋_GB2312"/>
          <w:bCs/>
          <w:sz w:val="32"/>
          <w:szCs w:val="32"/>
          <w:highlight w:val="none"/>
          <w:lang w:val="en-US" w:eastAsia="zh-CN"/>
        </w:rPr>
        <w:t>26</w:t>
      </w:r>
      <w:r>
        <w:rPr>
          <w:rFonts w:hint="eastAsia" w:ascii="仿宋_GB2312" w:hAnsi="仿宋_GB2312" w:eastAsia="仿宋_GB2312" w:cs="仿宋_GB2312"/>
          <w:bCs/>
          <w:sz w:val="32"/>
          <w:szCs w:val="32"/>
          <w:highlight w:val="none"/>
        </w:rPr>
        <w:t>万元。基金</w:t>
      </w:r>
      <w:r>
        <w:rPr>
          <w:rFonts w:hint="eastAsia" w:ascii="仿宋_GB2312" w:hAnsi="仿宋_GB2312" w:eastAsia="仿宋_GB2312" w:cs="仿宋_GB2312"/>
          <w:bCs/>
          <w:spacing w:val="-20"/>
          <w:sz w:val="32"/>
          <w:szCs w:val="32"/>
          <w:highlight w:val="none"/>
        </w:rPr>
        <w:t>总支出</w:t>
      </w:r>
      <w:r>
        <w:rPr>
          <w:rFonts w:hint="eastAsia" w:ascii="仿宋_GB2312" w:hAnsi="仿宋_GB2312" w:eastAsia="仿宋_GB2312" w:cs="仿宋_GB2312"/>
          <w:bCs/>
          <w:spacing w:val="-20"/>
          <w:sz w:val="32"/>
          <w:szCs w:val="32"/>
          <w:highlight w:val="none"/>
          <w:lang w:val="en-US" w:eastAsia="zh-CN"/>
        </w:rPr>
        <w:t>4257</w:t>
      </w:r>
      <w:r>
        <w:rPr>
          <w:rFonts w:hint="eastAsia" w:ascii="仿宋_GB2312" w:hAnsi="仿宋_GB2312" w:eastAsia="仿宋_GB2312" w:cs="仿宋_GB2312"/>
          <w:bCs/>
          <w:spacing w:val="-20"/>
          <w:sz w:val="32"/>
          <w:szCs w:val="32"/>
          <w:highlight w:val="none"/>
        </w:rPr>
        <w:t>万元 ，</w:t>
      </w:r>
      <w:r>
        <w:rPr>
          <w:rFonts w:hint="eastAsia" w:ascii="仿宋_GB2312" w:hAnsi="仿宋_GB2312" w:eastAsia="仿宋_GB2312" w:cs="仿宋_GB2312"/>
          <w:bCs/>
          <w:sz w:val="32"/>
          <w:szCs w:val="32"/>
          <w:highlight w:val="none"/>
        </w:rPr>
        <w:t>其中：城乡居民养老保险待遇支出</w:t>
      </w:r>
      <w:r>
        <w:rPr>
          <w:rFonts w:hint="eastAsia" w:ascii="仿宋_GB2312" w:hAnsi="仿宋_GB2312" w:eastAsia="仿宋_GB2312" w:cs="仿宋_GB2312"/>
          <w:bCs/>
          <w:sz w:val="32"/>
          <w:szCs w:val="32"/>
          <w:highlight w:val="none"/>
          <w:lang w:val="en-US" w:eastAsia="zh-CN"/>
        </w:rPr>
        <w:t>4253</w:t>
      </w:r>
      <w:r>
        <w:rPr>
          <w:rFonts w:hint="eastAsia" w:ascii="仿宋_GB2312" w:hAnsi="仿宋_GB2312" w:eastAsia="仿宋_GB2312" w:cs="仿宋_GB2312"/>
          <w:bCs/>
          <w:sz w:val="32"/>
          <w:szCs w:val="32"/>
          <w:highlight w:val="none"/>
        </w:rPr>
        <w:t>万元</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基金当期结余</w:t>
      </w:r>
      <w:r>
        <w:rPr>
          <w:rFonts w:hint="eastAsia" w:ascii="仿宋_GB2312" w:hAnsi="仿宋_GB2312" w:eastAsia="仿宋_GB2312" w:cs="仿宋_GB2312"/>
          <w:bCs/>
          <w:sz w:val="32"/>
          <w:szCs w:val="32"/>
          <w:highlight w:val="none"/>
          <w:lang w:val="en-US" w:eastAsia="zh-CN"/>
        </w:rPr>
        <w:t>465</w:t>
      </w:r>
      <w:r>
        <w:rPr>
          <w:rFonts w:hint="eastAsia" w:ascii="仿宋_GB2312" w:hAnsi="仿宋_GB2312" w:eastAsia="仿宋_GB2312" w:cs="仿宋_GB2312"/>
          <w:bCs/>
          <w:sz w:val="32"/>
          <w:szCs w:val="32"/>
          <w:highlight w:val="none"/>
        </w:rPr>
        <w:t>万元，累计结余</w:t>
      </w:r>
      <w:r>
        <w:rPr>
          <w:rFonts w:hint="eastAsia" w:ascii="仿宋_GB2312" w:hAnsi="仿宋_GB2312" w:eastAsia="仿宋_GB2312" w:cs="仿宋_GB2312"/>
          <w:bCs/>
          <w:sz w:val="32"/>
          <w:szCs w:val="32"/>
          <w:highlight w:val="none"/>
          <w:lang w:val="en-US" w:eastAsia="zh-CN"/>
        </w:rPr>
        <w:t>15990</w:t>
      </w:r>
      <w:r>
        <w:rPr>
          <w:rFonts w:hint="eastAsia" w:ascii="仿宋_GB2312" w:hAnsi="仿宋_GB2312" w:eastAsia="仿宋_GB2312" w:cs="仿宋_GB2312"/>
          <w:bCs/>
          <w:sz w:val="32"/>
          <w:szCs w:val="32"/>
          <w:highlight w:val="none"/>
        </w:rPr>
        <w:t>万元。</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202</w:t>
      </w:r>
      <w:r>
        <w:rPr>
          <w:rFonts w:hint="eastAsia" w:ascii="仿宋_GB2312" w:hAnsi="仿宋_GB2312" w:eastAsia="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年度区本级城乡居民养老保险基金总支出</w:t>
      </w:r>
      <w:r>
        <w:rPr>
          <w:rFonts w:hint="eastAsia" w:ascii="仿宋_GB2312" w:hAnsi="仿宋_GB2312" w:eastAsia="仿宋_GB2312" w:cs="仿宋_GB2312"/>
          <w:bCs/>
          <w:sz w:val="32"/>
          <w:szCs w:val="32"/>
          <w:highlight w:val="none"/>
          <w:lang w:val="en-US" w:eastAsia="zh-CN"/>
        </w:rPr>
        <w:t>4257</w:t>
      </w:r>
      <w:r>
        <w:rPr>
          <w:rFonts w:hint="eastAsia" w:ascii="仿宋_GB2312" w:hAnsi="仿宋_GB2312" w:eastAsia="仿宋_GB2312" w:cs="仿宋_GB2312"/>
          <w:bCs/>
          <w:sz w:val="32"/>
          <w:szCs w:val="32"/>
          <w:highlight w:val="none"/>
        </w:rPr>
        <w:t>万元，</w:t>
      </w:r>
      <w:r>
        <w:rPr>
          <w:rFonts w:hint="eastAsia" w:ascii="仿宋_GB2312" w:hAnsi="仿宋_GB2312" w:eastAsia="仿宋_GB2312" w:cs="仿宋_GB2312"/>
          <w:bCs/>
          <w:kern w:val="0"/>
          <w:sz w:val="32"/>
          <w:szCs w:val="32"/>
          <w:highlight w:val="none"/>
        </w:rPr>
        <w:t>较上年增加</w:t>
      </w:r>
      <w:r>
        <w:rPr>
          <w:rFonts w:hint="eastAsia" w:ascii="仿宋_GB2312" w:hAnsi="仿宋_GB2312" w:eastAsia="仿宋_GB2312" w:cs="仿宋_GB2312"/>
          <w:bCs/>
          <w:kern w:val="0"/>
          <w:sz w:val="32"/>
          <w:szCs w:val="32"/>
          <w:highlight w:val="none"/>
          <w:lang w:val="en-US" w:eastAsia="zh-CN"/>
        </w:rPr>
        <w:t>97</w:t>
      </w:r>
      <w:r>
        <w:rPr>
          <w:rFonts w:hint="eastAsia" w:ascii="仿宋_GB2312" w:hAnsi="仿宋_GB2312" w:eastAsia="仿宋_GB2312" w:cs="仿宋_GB2312"/>
          <w:bCs/>
          <w:kern w:val="0"/>
          <w:sz w:val="32"/>
          <w:szCs w:val="32"/>
          <w:highlight w:val="none"/>
        </w:rPr>
        <w:t>万元，增加了</w:t>
      </w:r>
      <w:r>
        <w:rPr>
          <w:rFonts w:hint="eastAsia" w:ascii="仿宋_GB2312" w:hAnsi="仿宋_GB2312" w:eastAsia="仿宋_GB2312" w:cs="仿宋_GB2312"/>
          <w:bCs/>
          <w:kern w:val="0"/>
          <w:sz w:val="32"/>
          <w:szCs w:val="32"/>
          <w:highlight w:val="none"/>
          <w:lang w:val="en-US" w:eastAsia="zh-CN"/>
        </w:rPr>
        <w:t>2.33</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sz w:val="32"/>
          <w:szCs w:val="32"/>
          <w:highlight w:val="none"/>
        </w:rPr>
        <w:t>完成全年预算</w:t>
      </w:r>
      <w:r>
        <w:rPr>
          <w:rFonts w:hint="eastAsia" w:ascii="仿宋_GB2312" w:hAnsi="仿宋_GB2312" w:eastAsia="仿宋_GB2312" w:cs="仿宋_GB2312"/>
          <w:bCs/>
          <w:sz w:val="32"/>
          <w:szCs w:val="32"/>
          <w:highlight w:val="none"/>
          <w:lang w:val="en-US" w:eastAsia="zh-CN"/>
        </w:rPr>
        <w:t>4314</w:t>
      </w:r>
      <w:r>
        <w:rPr>
          <w:rFonts w:hint="eastAsia" w:ascii="仿宋_GB2312" w:hAnsi="仿宋_GB2312" w:eastAsia="仿宋_GB2312" w:cs="仿宋_GB2312"/>
          <w:bCs/>
          <w:sz w:val="32"/>
          <w:szCs w:val="32"/>
          <w:highlight w:val="none"/>
        </w:rPr>
        <w:t>万元的</w:t>
      </w:r>
      <w:r>
        <w:rPr>
          <w:rFonts w:hint="eastAsia" w:ascii="仿宋_GB2312" w:hAnsi="仿宋_GB2312" w:eastAsia="仿宋_GB2312" w:cs="仿宋_GB2312"/>
          <w:bCs/>
          <w:sz w:val="32"/>
          <w:szCs w:val="32"/>
          <w:highlight w:val="none"/>
          <w:lang w:val="en-US" w:eastAsia="zh-CN"/>
        </w:rPr>
        <w:t>98.68</w:t>
      </w:r>
      <w:r>
        <w:rPr>
          <w:rFonts w:hint="eastAsia" w:ascii="仿宋_GB2312" w:hAnsi="仿宋_GB2312" w:eastAsia="仿宋_GB2312" w:cs="仿宋_GB2312"/>
          <w:bCs/>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0"/>
        <w:jc w:val="both"/>
        <w:textAlignment w:val="auto"/>
        <w:rPr>
          <w:rStyle w:val="20"/>
          <w:rFonts w:hint="eastAsia" w:ascii="黑体" w:hAnsi="黑体" w:eastAsia="黑体" w:cs="黑体"/>
          <w:b w:val="0"/>
          <w:bCs/>
          <w:spacing w:val="-4"/>
          <w:sz w:val="32"/>
          <w:szCs w:val="32"/>
        </w:rPr>
      </w:pPr>
      <w:r>
        <w:rPr>
          <w:rStyle w:val="20"/>
          <w:rFonts w:hint="eastAsia" w:ascii="黑体" w:hAnsi="黑体" w:eastAsia="黑体" w:cs="黑体"/>
          <w:b w:val="0"/>
          <w:bCs/>
          <w:spacing w:val="-4"/>
          <w:sz w:val="32"/>
          <w:szCs w:val="32"/>
          <w:lang w:eastAsia="zh-CN"/>
        </w:rPr>
        <w:t>三、</w:t>
      </w:r>
      <w:r>
        <w:rPr>
          <w:rStyle w:val="20"/>
          <w:rFonts w:hint="eastAsia" w:ascii="黑体" w:hAnsi="黑体" w:eastAsia="黑体" w:cs="黑体"/>
          <w:b w:val="0"/>
          <w:bCs/>
          <w:spacing w:val="-4"/>
          <w:sz w:val="32"/>
          <w:szCs w:val="32"/>
        </w:rPr>
        <w:t>各项社会保险基金支出组织实施情况和绩效管理情况</w:t>
      </w:r>
    </w:p>
    <w:p>
      <w:pPr>
        <w:keepNext w:val="0"/>
        <w:keepLines w:val="0"/>
        <w:pageBreakBefore w:val="0"/>
        <w:kinsoku/>
        <w:wordWrap/>
        <w:overflowPunct/>
        <w:topLinePunct w:val="0"/>
        <w:autoSpaceDE/>
        <w:autoSpaceDN/>
        <w:bidi w:val="0"/>
        <w:adjustRightInd/>
        <w:snapToGrid/>
        <w:spacing w:line="560" w:lineRule="exact"/>
        <w:ind w:firstLine="567"/>
        <w:jc w:val="both"/>
        <w:textAlignment w:val="auto"/>
        <w:rPr>
          <w:rStyle w:val="20"/>
          <w:rFonts w:hint="eastAsia" w:ascii="楷体_GB2312" w:hAnsi="楷体_GB2312" w:eastAsia="楷体_GB2312" w:cs="楷体_GB2312"/>
          <w:b w:val="0"/>
          <w:spacing w:val="-4"/>
          <w:sz w:val="32"/>
          <w:szCs w:val="32"/>
        </w:rPr>
      </w:pPr>
      <w:r>
        <w:rPr>
          <w:rStyle w:val="20"/>
          <w:rFonts w:hint="eastAsia" w:ascii="楷体_GB2312" w:hAnsi="楷体_GB2312" w:eastAsia="楷体_GB2312" w:cs="楷体_GB2312"/>
          <w:b w:val="0"/>
          <w:spacing w:val="-4"/>
          <w:sz w:val="32"/>
          <w:szCs w:val="32"/>
        </w:rPr>
        <w:t>（一）社会保险管理情况分析</w:t>
      </w:r>
    </w:p>
    <w:p>
      <w:pPr>
        <w:pStyle w:val="2"/>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highlight w:val="none"/>
        </w:rPr>
      </w:pPr>
      <w:r>
        <w:rPr>
          <w:rStyle w:val="20"/>
          <w:rFonts w:hint="eastAsia" w:ascii="仿宋_GB2312" w:hAnsi="仿宋_GB2312" w:eastAsia="仿宋_GB2312" w:cs="仿宋_GB2312"/>
          <w:spacing w:val="-4"/>
          <w:sz w:val="32"/>
          <w:szCs w:val="32"/>
          <w:highlight w:val="none"/>
        </w:rPr>
        <w:t xml:space="preserve">    </w:t>
      </w:r>
      <w:r>
        <w:rPr>
          <w:rFonts w:hint="eastAsia" w:ascii="仿宋_GB2312" w:hAnsi="仿宋_GB2312" w:eastAsia="仿宋_GB2312" w:cs="仿宋_GB2312"/>
          <w:kern w:val="2"/>
          <w:sz w:val="32"/>
          <w:szCs w:val="32"/>
          <w:highlight w:val="none"/>
        </w:rPr>
        <w:t>机关养老保险基金的发放是</w:t>
      </w:r>
      <w:r>
        <w:rPr>
          <w:rFonts w:hint="eastAsia" w:ascii="仿宋_GB2312" w:hAnsi="仿宋_GB2312" w:eastAsia="仿宋_GB2312" w:cs="仿宋_GB2312"/>
          <w:bCs/>
          <w:spacing w:val="-4"/>
          <w:kern w:val="2"/>
          <w:sz w:val="32"/>
          <w:szCs w:val="32"/>
          <w:highlight w:val="none"/>
        </w:rPr>
        <w:t>满足退休条件的工作人员经人社局审批退休后，社保经办机构再次核定并按照转发人力资源和社会保障厅关于落实机关事业养老保险制度改革后退休“中人”养老金待遇的通知（新人社发</w:t>
      </w:r>
      <w:r>
        <w:rPr>
          <w:rFonts w:hint="eastAsia" w:ascii="仿宋_GB2312" w:hAnsi="仿宋_GB2312" w:eastAsia="仿宋_GB2312" w:cs="仿宋_GB2312"/>
          <w:bCs/>
          <w:spacing w:val="-4"/>
          <w:kern w:val="2"/>
          <w:sz w:val="32"/>
          <w:szCs w:val="32"/>
          <w:highlight w:val="none"/>
          <w:lang w:eastAsia="zh-CN"/>
        </w:rPr>
        <w:t>〔</w:t>
      </w:r>
      <w:r>
        <w:rPr>
          <w:rFonts w:hint="eastAsia" w:ascii="仿宋_GB2312" w:hAnsi="仿宋_GB2312" w:eastAsia="仿宋_GB2312" w:cs="仿宋_GB2312"/>
          <w:bCs/>
          <w:spacing w:val="-4"/>
          <w:kern w:val="2"/>
          <w:sz w:val="32"/>
          <w:szCs w:val="32"/>
          <w:highlight w:val="none"/>
        </w:rPr>
        <w:t>2018</w:t>
      </w:r>
      <w:r>
        <w:rPr>
          <w:rFonts w:hint="eastAsia" w:ascii="仿宋_GB2312" w:hAnsi="仿宋_GB2312" w:eastAsia="仿宋_GB2312" w:cs="仿宋_GB2312"/>
          <w:bCs/>
          <w:spacing w:val="-4"/>
          <w:kern w:val="2"/>
          <w:sz w:val="32"/>
          <w:szCs w:val="32"/>
          <w:highlight w:val="none"/>
          <w:lang w:eastAsia="zh-CN"/>
        </w:rPr>
        <w:t>〕</w:t>
      </w:r>
      <w:r>
        <w:rPr>
          <w:rFonts w:hint="eastAsia" w:ascii="仿宋_GB2312" w:hAnsi="仿宋_GB2312" w:eastAsia="仿宋_GB2312" w:cs="仿宋_GB2312"/>
          <w:bCs/>
          <w:spacing w:val="-4"/>
          <w:kern w:val="2"/>
          <w:sz w:val="32"/>
          <w:szCs w:val="32"/>
          <w:highlight w:val="none"/>
        </w:rPr>
        <w:t>67号）计算待遇，从退休金计发之日起按照调整后的标准发放待遇。</w:t>
      </w:r>
      <w:r>
        <w:rPr>
          <w:rFonts w:hint="eastAsia" w:ascii="仿宋_GB2312" w:hAnsi="仿宋_GB2312" w:eastAsia="仿宋_GB2312" w:cs="仿宋_GB2312"/>
          <w:kern w:val="2"/>
          <w:sz w:val="32"/>
          <w:szCs w:val="32"/>
          <w:highlight w:val="none"/>
        </w:rPr>
        <w:t>推动养老待遇水平随经济发展而逐步提高，确保参保居民共享经济社会发展成果，不断增强参保居民的获得感、幸福感、安全感。</w:t>
      </w:r>
    </w:p>
    <w:p>
      <w:pPr>
        <w:keepNext w:val="0"/>
        <w:keepLines w:val="0"/>
        <w:pageBreakBefore w:val="0"/>
        <w:kinsoku/>
        <w:wordWrap/>
        <w:overflowPunct/>
        <w:topLinePunct w:val="0"/>
        <w:autoSpaceDE/>
        <w:autoSpaceDN/>
        <w:bidi w:val="0"/>
        <w:adjustRightInd/>
        <w:snapToGrid/>
        <w:spacing w:line="560" w:lineRule="exact"/>
        <w:ind w:firstLine="567"/>
        <w:jc w:val="both"/>
        <w:textAlignment w:val="auto"/>
        <w:rPr>
          <w:rStyle w:val="20"/>
          <w:rFonts w:hint="eastAsia" w:ascii="楷体_GB2312" w:hAnsi="楷体_GB2312" w:eastAsia="楷体_GB2312" w:cs="楷体_GB2312"/>
          <w:b w:val="0"/>
          <w:spacing w:val="-4"/>
          <w:sz w:val="32"/>
          <w:szCs w:val="32"/>
        </w:rPr>
      </w:pPr>
      <w:r>
        <w:rPr>
          <w:rStyle w:val="20"/>
          <w:rFonts w:hint="eastAsia" w:ascii="楷体_GB2312" w:hAnsi="楷体_GB2312" w:eastAsia="楷体_GB2312" w:cs="楷体_GB2312"/>
          <w:b w:val="0"/>
          <w:spacing w:val="-4"/>
          <w:sz w:val="32"/>
          <w:szCs w:val="32"/>
        </w:rPr>
        <w:t>（二）绩效目标完成情况分析</w:t>
      </w:r>
    </w:p>
    <w:p>
      <w:pPr>
        <w:keepNext w:val="0"/>
        <w:keepLines w:val="0"/>
        <w:pageBreakBefore w:val="0"/>
        <w:kinsoku/>
        <w:wordWrap/>
        <w:overflowPunct/>
        <w:topLinePunct w:val="0"/>
        <w:autoSpaceDE/>
        <w:autoSpaceDN/>
        <w:bidi w:val="0"/>
        <w:adjustRightInd/>
        <w:snapToGrid/>
        <w:spacing w:line="560" w:lineRule="exact"/>
        <w:ind w:firstLine="624" w:firstLineChars="200"/>
        <w:jc w:val="both"/>
        <w:textAlignment w:val="auto"/>
        <w:rPr>
          <w:rFonts w:hint="eastAsia" w:ascii="仿宋_GB2312" w:hAnsi="仿宋_GB2312" w:eastAsia="仿宋_GB2312" w:cs="仿宋_GB2312"/>
          <w:bCs/>
          <w:spacing w:val="-4"/>
          <w:sz w:val="32"/>
          <w:szCs w:val="32"/>
          <w:highlight w:val="none"/>
        </w:rPr>
      </w:pPr>
      <w:r>
        <w:rPr>
          <w:rFonts w:hint="eastAsia" w:ascii="仿宋_GB2312" w:hAnsi="仿宋_GB2312" w:eastAsia="仿宋_GB2312" w:cs="仿宋_GB2312"/>
          <w:bCs/>
          <w:spacing w:val="-4"/>
          <w:sz w:val="32"/>
          <w:szCs w:val="32"/>
          <w:highlight w:val="none"/>
        </w:rPr>
        <w:t>202</w:t>
      </w:r>
      <w:r>
        <w:rPr>
          <w:rFonts w:hint="eastAsia" w:ascii="仿宋_GB2312" w:hAnsi="仿宋_GB2312" w:eastAsia="仿宋_GB2312" w:cs="仿宋_GB2312"/>
          <w:bCs/>
          <w:spacing w:val="-4"/>
          <w:sz w:val="32"/>
          <w:szCs w:val="32"/>
          <w:highlight w:val="none"/>
          <w:lang w:val="en-US" w:eastAsia="zh-CN"/>
        </w:rPr>
        <w:t>2</w:t>
      </w:r>
      <w:r>
        <w:rPr>
          <w:rFonts w:hint="eastAsia" w:ascii="仿宋_GB2312" w:hAnsi="仿宋_GB2312" w:eastAsia="仿宋_GB2312" w:cs="仿宋_GB2312"/>
          <w:bCs/>
          <w:spacing w:val="-4"/>
          <w:sz w:val="32"/>
          <w:szCs w:val="32"/>
          <w:highlight w:val="none"/>
        </w:rPr>
        <w:t>年区本级各项社会保险基金总支出</w:t>
      </w:r>
      <w:r>
        <w:rPr>
          <w:rFonts w:hint="eastAsia" w:ascii="仿宋_GB2312" w:hAnsi="仿宋_GB2312" w:eastAsia="仿宋_GB2312" w:cs="仿宋_GB2312"/>
          <w:bCs/>
          <w:spacing w:val="-4"/>
          <w:sz w:val="32"/>
          <w:szCs w:val="32"/>
          <w:highlight w:val="none"/>
          <w:lang w:val="en-US" w:eastAsia="zh-CN"/>
        </w:rPr>
        <w:t>34345</w:t>
      </w:r>
      <w:r>
        <w:rPr>
          <w:rFonts w:hint="eastAsia" w:ascii="仿宋_GB2312" w:hAnsi="仿宋_GB2312" w:eastAsia="仿宋_GB2312" w:cs="仿宋_GB2312"/>
          <w:bCs/>
          <w:spacing w:val="-4"/>
          <w:sz w:val="32"/>
          <w:szCs w:val="32"/>
          <w:highlight w:val="none"/>
        </w:rPr>
        <w:t>万元，其中：待遇支出</w:t>
      </w:r>
      <w:r>
        <w:rPr>
          <w:rFonts w:hint="eastAsia" w:ascii="仿宋_GB2312" w:hAnsi="仿宋_GB2312" w:eastAsia="仿宋_GB2312" w:cs="仿宋_GB2312"/>
          <w:bCs/>
          <w:spacing w:val="-4"/>
          <w:sz w:val="32"/>
          <w:szCs w:val="32"/>
          <w:highlight w:val="none"/>
          <w:lang w:val="en-US" w:eastAsia="zh-CN"/>
        </w:rPr>
        <w:t>34314</w:t>
      </w:r>
      <w:r>
        <w:rPr>
          <w:rFonts w:hint="eastAsia" w:ascii="仿宋_GB2312" w:hAnsi="仿宋_GB2312" w:eastAsia="仿宋_GB2312" w:cs="仿宋_GB2312"/>
          <w:bCs/>
          <w:spacing w:val="-4"/>
          <w:sz w:val="32"/>
          <w:szCs w:val="32"/>
          <w:highlight w:val="none"/>
        </w:rPr>
        <w:t>万元，总支出较上年增加</w:t>
      </w:r>
      <w:r>
        <w:rPr>
          <w:rFonts w:hint="eastAsia" w:ascii="仿宋_GB2312" w:hAnsi="仿宋_GB2312" w:eastAsia="仿宋_GB2312" w:cs="仿宋_GB2312"/>
          <w:bCs/>
          <w:spacing w:val="-4"/>
          <w:sz w:val="32"/>
          <w:szCs w:val="32"/>
          <w:highlight w:val="none"/>
          <w:lang w:val="en-US" w:eastAsia="zh-CN"/>
        </w:rPr>
        <w:t>6765</w:t>
      </w:r>
      <w:r>
        <w:rPr>
          <w:rFonts w:hint="eastAsia" w:ascii="仿宋_GB2312" w:hAnsi="仿宋_GB2312" w:eastAsia="仿宋_GB2312" w:cs="仿宋_GB2312"/>
          <w:bCs/>
          <w:spacing w:val="-4"/>
          <w:sz w:val="32"/>
          <w:szCs w:val="32"/>
          <w:highlight w:val="none"/>
        </w:rPr>
        <w:t>万元，增长了</w:t>
      </w:r>
      <w:r>
        <w:rPr>
          <w:rFonts w:hint="eastAsia" w:ascii="仿宋_GB2312" w:hAnsi="仿宋_GB2312" w:eastAsia="仿宋_GB2312" w:cs="仿宋_GB2312"/>
          <w:bCs/>
          <w:spacing w:val="-4"/>
          <w:sz w:val="32"/>
          <w:szCs w:val="32"/>
          <w:highlight w:val="none"/>
          <w:lang w:val="en-US" w:eastAsia="zh-CN"/>
        </w:rPr>
        <w:t>24.56</w:t>
      </w:r>
      <w:r>
        <w:rPr>
          <w:rFonts w:hint="eastAsia" w:ascii="仿宋_GB2312" w:hAnsi="仿宋_GB2312" w:eastAsia="仿宋_GB2312" w:cs="仿宋_GB2312"/>
          <w:bCs/>
          <w:spacing w:val="-4"/>
          <w:sz w:val="32"/>
          <w:szCs w:val="32"/>
          <w:highlight w:val="none"/>
        </w:rPr>
        <w:t>%，完成年度总支出预算</w:t>
      </w:r>
      <w:r>
        <w:rPr>
          <w:rFonts w:hint="eastAsia" w:ascii="仿宋_GB2312" w:hAnsi="仿宋_GB2312" w:eastAsia="仿宋_GB2312" w:cs="仿宋_GB2312"/>
          <w:bCs/>
          <w:spacing w:val="-4"/>
          <w:sz w:val="32"/>
          <w:szCs w:val="32"/>
          <w:highlight w:val="none"/>
          <w:lang w:val="en-US" w:eastAsia="zh-CN"/>
        </w:rPr>
        <w:t>31870</w:t>
      </w:r>
      <w:r>
        <w:rPr>
          <w:rFonts w:hint="eastAsia" w:ascii="仿宋_GB2312" w:hAnsi="仿宋_GB2312" w:eastAsia="仿宋_GB2312" w:cs="仿宋_GB2312"/>
          <w:bCs/>
          <w:spacing w:val="-4"/>
          <w:sz w:val="32"/>
          <w:szCs w:val="32"/>
          <w:highlight w:val="none"/>
        </w:rPr>
        <w:t>万元的</w:t>
      </w:r>
      <w:r>
        <w:rPr>
          <w:rFonts w:hint="eastAsia" w:ascii="仿宋_GB2312" w:hAnsi="仿宋_GB2312" w:eastAsia="仿宋_GB2312" w:cs="仿宋_GB2312"/>
          <w:bCs/>
          <w:spacing w:val="-4"/>
          <w:sz w:val="32"/>
          <w:szCs w:val="32"/>
          <w:highlight w:val="none"/>
          <w:lang w:val="en-US" w:eastAsia="zh-CN"/>
        </w:rPr>
        <w:t>107.76</w:t>
      </w:r>
      <w:r>
        <w:rPr>
          <w:rFonts w:hint="eastAsia" w:ascii="仿宋_GB2312" w:hAnsi="仿宋_GB2312" w:eastAsia="仿宋_GB2312" w:cs="仿宋_GB2312"/>
          <w:bCs/>
          <w:spacing w:val="-4"/>
          <w:sz w:val="32"/>
          <w:szCs w:val="32"/>
          <w:highlight w:val="none"/>
        </w:rPr>
        <w:t>%。202</w:t>
      </w:r>
      <w:r>
        <w:rPr>
          <w:rFonts w:hint="eastAsia" w:ascii="仿宋_GB2312" w:hAnsi="仿宋_GB2312" w:eastAsia="仿宋_GB2312" w:cs="仿宋_GB2312"/>
          <w:bCs/>
          <w:spacing w:val="-4"/>
          <w:sz w:val="32"/>
          <w:szCs w:val="32"/>
          <w:highlight w:val="none"/>
          <w:lang w:val="en-US" w:eastAsia="zh-CN"/>
        </w:rPr>
        <w:t>2</w:t>
      </w:r>
      <w:r>
        <w:rPr>
          <w:rFonts w:hint="eastAsia" w:ascii="仿宋_GB2312" w:hAnsi="仿宋_GB2312" w:eastAsia="仿宋_GB2312" w:cs="仿宋_GB2312"/>
          <w:bCs/>
          <w:spacing w:val="-4"/>
          <w:sz w:val="32"/>
          <w:szCs w:val="32"/>
          <w:highlight w:val="none"/>
        </w:rPr>
        <w:t>年全年高昌区社会保险待遇也在规定时限内报销或足额领取待遇，有效推动了对基本养老保险制度可持续发展有效推动，保障了退休人员的晚年生活和在职参保人员的养老、工伤、失业等切身利益问题。坚定维护了新疆社会稳定和长治久安。</w:t>
      </w:r>
    </w:p>
    <w:p>
      <w:pPr>
        <w:keepNext w:val="0"/>
        <w:keepLines w:val="0"/>
        <w:pageBreakBefore w:val="0"/>
        <w:kinsoku/>
        <w:wordWrap/>
        <w:overflowPunct/>
        <w:topLinePunct w:val="0"/>
        <w:autoSpaceDE/>
        <w:autoSpaceDN/>
        <w:bidi w:val="0"/>
        <w:adjustRightInd/>
        <w:snapToGrid/>
        <w:spacing w:line="560" w:lineRule="exact"/>
        <w:ind w:firstLine="627" w:firstLineChars="200"/>
        <w:jc w:val="both"/>
        <w:textAlignment w:val="auto"/>
        <w:rPr>
          <w:rStyle w:val="20"/>
          <w:rFonts w:hint="eastAsia" w:ascii="仿宋_GB2312" w:hAnsi="仿宋_GB2312" w:eastAsia="仿宋_GB2312" w:cs="仿宋_GB2312"/>
          <w:b/>
          <w:bCs w:val="0"/>
          <w:spacing w:val="-4"/>
          <w:sz w:val="32"/>
          <w:szCs w:val="32"/>
          <w:highlight w:val="none"/>
        </w:rPr>
      </w:pPr>
      <w:r>
        <w:rPr>
          <w:rStyle w:val="20"/>
          <w:rFonts w:hint="eastAsia" w:ascii="仿宋_GB2312" w:hAnsi="仿宋_GB2312" w:eastAsia="仿宋_GB2312" w:cs="仿宋_GB2312"/>
          <w:b/>
          <w:bCs w:val="0"/>
          <w:spacing w:val="-4"/>
          <w:sz w:val="32"/>
          <w:szCs w:val="32"/>
          <w:highlight w:val="none"/>
        </w:rPr>
        <w:t>1</w:t>
      </w:r>
      <w:r>
        <w:rPr>
          <w:rStyle w:val="20"/>
          <w:rFonts w:hint="eastAsia" w:ascii="仿宋_GB2312" w:hAnsi="仿宋_GB2312" w:eastAsia="仿宋_GB2312" w:cs="仿宋_GB2312"/>
          <w:b/>
          <w:bCs w:val="0"/>
          <w:spacing w:val="-4"/>
          <w:sz w:val="32"/>
          <w:szCs w:val="32"/>
          <w:highlight w:val="none"/>
          <w:lang w:val="en-US" w:eastAsia="zh-CN"/>
        </w:rPr>
        <w:t>.</w:t>
      </w:r>
      <w:r>
        <w:rPr>
          <w:rStyle w:val="20"/>
          <w:rFonts w:hint="eastAsia" w:ascii="仿宋_GB2312" w:hAnsi="仿宋_GB2312" w:eastAsia="仿宋_GB2312" w:cs="仿宋_GB2312"/>
          <w:b/>
          <w:bCs w:val="0"/>
          <w:spacing w:val="-4"/>
          <w:sz w:val="32"/>
          <w:szCs w:val="32"/>
          <w:highlight w:val="none"/>
        </w:rPr>
        <w:t>机关事业单位养老保险基金</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Cs/>
          <w:sz w:val="32"/>
          <w:szCs w:val="32"/>
          <w:highlight w:val="none"/>
        </w:rPr>
        <w:t>202</w:t>
      </w:r>
      <w:r>
        <w:rPr>
          <w:rFonts w:hint="eastAsia" w:ascii="仿宋_GB2312" w:hAnsi="仿宋_GB2312" w:eastAsia="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年度机关事业单位养老保险基金支出</w:t>
      </w:r>
      <w:r>
        <w:rPr>
          <w:rFonts w:hint="eastAsia" w:ascii="仿宋_GB2312" w:hAnsi="仿宋_GB2312" w:eastAsia="仿宋_GB2312" w:cs="仿宋_GB2312"/>
          <w:bCs/>
          <w:sz w:val="32"/>
          <w:szCs w:val="32"/>
          <w:highlight w:val="none"/>
          <w:lang w:val="en-US" w:eastAsia="zh-CN"/>
        </w:rPr>
        <w:t>30088</w:t>
      </w:r>
      <w:r>
        <w:rPr>
          <w:rFonts w:hint="eastAsia" w:ascii="仿宋_GB2312" w:hAnsi="仿宋_GB2312" w:eastAsia="仿宋_GB2312" w:cs="仿宋_GB2312"/>
          <w:bCs/>
          <w:sz w:val="32"/>
          <w:szCs w:val="32"/>
          <w:highlight w:val="none"/>
        </w:rPr>
        <w:t>万元，较上年增加</w:t>
      </w:r>
      <w:r>
        <w:rPr>
          <w:rFonts w:hint="eastAsia" w:ascii="仿宋_GB2312" w:hAnsi="仿宋_GB2312" w:eastAsia="仿宋_GB2312" w:cs="仿宋_GB2312"/>
          <w:bCs/>
          <w:sz w:val="32"/>
          <w:szCs w:val="32"/>
          <w:highlight w:val="none"/>
          <w:lang w:val="en-US" w:eastAsia="zh-CN"/>
        </w:rPr>
        <w:t>6657</w:t>
      </w:r>
      <w:r>
        <w:rPr>
          <w:rFonts w:hint="eastAsia" w:ascii="仿宋_GB2312" w:hAnsi="仿宋_GB2312" w:eastAsia="仿宋_GB2312" w:cs="仿宋_GB2312"/>
          <w:bCs/>
          <w:sz w:val="32"/>
          <w:szCs w:val="32"/>
          <w:highlight w:val="none"/>
        </w:rPr>
        <w:t>万元，增长</w:t>
      </w:r>
      <w:r>
        <w:rPr>
          <w:rFonts w:hint="eastAsia" w:ascii="仿宋_GB2312" w:hAnsi="仿宋_GB2312" w:eastAsia="仿宋_GB2312" w:cs="仿宋_GB2312"/>
          <w:bCs/>
          <w:sz w:val="32"/>
          <w:szCs w:val="32"/>
          <w:highlight w:val="none"/>
          <w:lang w:val="en-US" w:eastAsia="zh-CN"/>
        </w:rPr>
        <w:t>28.41</w:t>
      </w:r>
      <w:r>
        <w:rPr>
          <w:rFonts w:hint="eastAsia" w:ascii="仿宋_GB2312" w:hAnsi="仿宋_GB2312" w:eastAsia="仿宋_GB2312" w:cs="仿宋_GB2312"/>
          <w:bCs/>
          <w:sz w:val="32"/>
          <w:szCs w:val="32"/>
          <w:highlight w:val="none"/>
        </w:rPr>
        <w:t>%，完成全年预算支出</w:t>
      </w:r>
      <w:r>
        <w:rPr>
          <w:rFonts w:hint="eastAsia" w:ascii="仿宋_GB2312" w:hAnsi="仿宋_GB2312" w:eastAsia="仿宋_GB2312" w:cs="仿宋_GB2312"/>
          <w:bCs/>
          <w:sz w:val="32"/>
          <w:szCs w:val="32"/>
          <w:highlight w:val="none"/>
          <w:lang w:val="en-US" w:eastAsia="zh-CN"/>
        </w:rPr>
        <w:t>27557</w:t>
      </w:r>
      <w:r>
        <w:rPr>
          <w:rFonts w:hint="eastAsia" w:ascii="仿宋_GB2312" w:hAnsi="仿宋_GB2312" w:eastAsia="仿宋_GB2312" w:cs="仿宋_GB2312"/>
          <w:bCs/>
          <w:sz w:val="32"/>
          <w:szCs w:val="32"/>
          <w:highlight w:val="none"/>
        </w:rPr>
        <w:t>万元的</w:t>
      </w:r>
      <w:r>
        <w:rPr>
          <w:rFonts w:hint="eastAsia" w:ascii="仿宋_GB2312" w:hAnsi="仿宋_GB2312" w:eastAsia="仿宋_GB2312" w:cs="仿宋_GB2312"/>
          <w:bCs/>
          <w:sz w:val="32"/>
          <w:szCs w:val="32"/>
          <w:highlight w:val="none"/>
          <w:lang w:val="en-US" w:eastAsia="zh-CN"/>
        </w:rPr>
        <w:t>109.18</w:t>
      </w:r>
      <w:r>
        <w:rPr>
          <w:rFonts w:hint="eastAsia" w:ascii="仿宋_GB2312" w:hAnsi="仿宋_GB2312" w:eastAsia="仿宋_GB2312" w:cs="仿宋_GB2312"/>
          <w:bCs/>
          <w:sz w:val="32"/>
          <w:szCs w:val="32"/>
          <w:highlight w:val="none"/>
        </w:rPr>
        <w:t>%。全年保障离退休人员</w:t>
      </w:r>
      <w:r>
        <w:rPr>
          <w:rFonts w:hint="eastAsia" w:ascii="仿宋_GB2312" w:hAnsi="仿宋_GB2312" w:eastAsia="仿宋_GB2312" w:cs="仿宋_GB2312"/>
          <w:bCs/>
          <w:sz w:val="32"/>
          <w:szCs w:val="32"/>
          <w:highlight w:val="none"/>
          <w:lang w:val="en-US" w:eastAsia="zh-CN"/>
        </w:rPr>
        <w:t>4091</w:t>
      </w:r>
      <w:r>
        <w:rPr>
          <w:rFonts w:hint="eastAsia" w:ascii="仿宋_GB2312" w:hAnsi="仿宋_GB2312" w:eastAsia="仿宋_GB2312" w:cs="仿宋_GB2312"/>
          <w:bCs/>
          <w:sz w:val="32"/>
          <w:szCs w:val="32"/>
          <w:highlight w:val="none"/>
        </w:rPr>
        <w:t>人的基本养老金待遇发放。全年保障机关事业单位退休人员覆盖率</w:t>
      </w:r>
      <w:r>
        <w:rPr>
          <w:rFonts w:hint="eastAsia" w:ascii="仿宋_GB2312" w:hAnsi="仿宋_GB2312" w:eastAsia="仿宋_GB2312" w:cs="仿宋_GB2312"/>
          <w:bCs/>
          <w:sz w:val="32"/>
          <w:szCs w:val="32"/>
          <w:highlight w:val="none"/>
          <w:lang w:val="en-US" w:eastAsia="zh-CN"/>
        </w:rPr>
        <w:t>100%</w:t>
      </w:r>
      <w:r>
        <w:rPr>
          <w:rFonts w:hint="eastAsia" w:ascii="仿宋_GB2312" w:hAnsi="仿宋_GB2312" w:eastAsia="仿宋_GB2312" w:cs="仿宋_GB2312"/>
          <w:bCs/>
          <w:sz w:val="32"/>
          <w:szCs w:val="32"/>
          <w:highlight w:val="none"/>
        </w:rPr>
        <w:t>，高昌区本级在每月25日前按时足额发放养老金，基础养老金待遇发放及时率</w:t>
      </w:r>
      <w:r>
        <w:rPr>
          <w:rFonts w:hint="eastAsia" w:ascii="仿宋_GB2312" w:hAnsi="仿宋_GB2312" w:eastAsia="仿宋_GB2312" w:cs="仿宋_GB2312"/>
          <w:bCs/>
          <w:sz w:val="32"/>
          <w:szCs w:val="32"/>
          <w:highlight w:val="none"/>
          <w:lang w:val="en-US" w:eastAsia="zh-CN"/>
        </w:rPr>
        <w:t>100</w:t>
      </w:r>
      <w:r>
        <w:rPr>
          <w:rFonts w:hint="eastAsia" w:ascii="仿宋_GB2312" w:hAnsi="仿宋_GB2312" w:eastAsia="仿宋_GB2312" w:cs="仿宋_GB2312"/>
          <w:bCs/>
          <w:sz w:val="32"/>
          <w:szCs w:val="32"/>
          <w:highlight w:val="none"/>
        </w:rPr>
        <w:t>％，机关事业单位退休人员满意度</w:t>
      </w:r>
      <w:r>
        <w:rPr>
          <w:rFonts w:hint="eastAsia" w:ascii="仿宋_GB2312" w:hAnsi="仿宋_GB2312" w:eastAsia="仿宋_GB2312" w:cs="仿宋_GB2312"/>
          <w:bCs/>
          <w:sz w:val="32"/>
          <w:szCs w:val="32"/>
          <w:highlight w:val="none"/>
          <w:lang w:eastAsia="zh-CN"/>
        </w:rPr>
        <w:t>达</w:t>
      </w:r>
      <w:r>
        <w:rPr>
          <w:rFonts w:hint="eastAsia" w:ascii="仿宋_GB2312" w:hAnsi="仿宋_GB2312" w:eastAsia="仿宋_GB2312" w:cs="仿宋_GB2312"/>
          <w:bCs/>
          <w:sz w:val="32"/>
          <w:szCs w:val="32"/>
          <w:highlight w:val="none"/>
          <w:lang w:val="en-US" w:eastAsia="zh-CN"/>
        </w:rPr>
        <w:t>95%。</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202</w:t>
      </w:r>
      <w:r>
        <w:rPr>
          <w:rFonts w:hint="eastAsia" w:ascii="仿宋_GB2312" w:hAnsi="仿宋_GB2312" w:eastAsia="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年末区本级退休人员</w:t>
      </w:r>
      <w:r>
        <w:rPr>
          <w:rFonts w:hint="eastAsia" w:ascii="仿宋_GB2312" w:hAnsi="仿宋_GB2312" w:eastAsia="仿宋_GB2312" w:cs="仿宋_GB2312"/>
          <w:bCs/>
          <w:sz w:val="32"/>
          <w:szCs w:val="32"/>
          <w:highlight w:val="none"/>
          <w:lang w:val="en-US" w:eastAsia="zh-CN"/>
        </w:rPr>
        <w:t>4091</w:t>
      </w:r>
      <w:r>
        <w:rPr>
          <w:rFonts w:hint="eastAsia" w:ascii="仿宋_GB2312" w:hAnsi="仿宋_GB2312" w:eastAsia="仿宋_GB2312" w:cs="仿宋_GB2312"/>
          <w:bCs/>
          <w:sz w:val="32"/>
          <w:szCs w:val="32"/>
          <w:highlight w:val="none"/>
        </w:rPr>
        <w:t>人，当年新增退休237人，因退休人数增加因素，继续调整提高退休人员养老金水平，区本级人均月增加养老金</w:t>
      </w:r>
      <w:r>
        <w:rPr>
          <w:rFonts w:hint="eastAsia" w:ascii="仿宋_GB2312" w:hAnsi="仿宋_GB2312" w:eastAsia="仿宋_GB2312" w:cs="仿宋_GB2312"/>
          <w:bCs/>
          <w:sz w:val="32"/>
          <w:szCs w:val="32"/>
          <w:highlight w:val="none"/>
          <w:lang w:val="en-US" w:eastAsia="zh-CN"/>
        </w:rPr>
        <w:t>225.98</w:t>
      </w:r>
      <w:r>
        <w:rPr>
          <w:rFonts w:hint="eastAsia" w:ascii="仿宋_GB2312" w:hAnsi="仿宋_GB2312" w:eastAsia="仿宋_GB2312" w:cs="仿宋_GB2312"/>
          <w:bCs/>
          <w:sz w:val="32"/>
          <w:szCs w:val="32"/>
          <w:highlight w:val="none"/>
        </w:rPr>
        <w:t>元，全年增加基金支出</w:t>
      </w:r>
      <w:r>
        <w:rPr>
          <w:rFonts w:hint="eastAsia" w:ascii="仿宋_GB2312" w:hAnsi="仿宋_GB2312" w:eastAsia="仿宋_GB2312" w:cs="仿宋_GB2312"/>
          <w:bCs/>
          <w:sz w:val="32"/>
          <w:szCs w:val="32"/>
          <w:highlight w:val="none"/>
          <w:lang w:val="en-US" w:eastAsia="zh-CN"/>
        </w:rPr>
        <w:t>1079.82</w:t>
      </w:r>
      <w:r>
        <w:rPr>
          <w:rFonts w:hint="eastAsia" w:ascii="仿宋_GB2312" w:hAnsi="仿宋_GB2312" w:eastAsia="仿宋_GB2312" w:cs="仿宋_GB2312"/>
          <w:bCs/>
          <w:sz w:val="32"/>
          <w:szCs w:val="32"/>
          <w:highlight w:val="none"/>
        </w:rPr>
        <w:t xml:space="preserve">万元。 </w:t>
      </w:r>
    </w:p>
    <w:p>
      <w:pPr>
        <w:keepNext w:val="0"/>
        <w:keepLines w:val="0"/>
        <w:pageBreakBefore w:val="0"/>
        <w:kinsoku/>
        <w:wordWrap/>
        <w:overflowPunct/>
        <w:topLinePunct w:val="0"/>
        <w:autoSpaceDE/>
        <w:autoSpaceDN/>
        <w:bidi w:val="0"/>
        <w:adjustRightInd/>
        <w:snapToGrid/>
        <w:spacing w:line="560" w:lineRule="exact"/>
        <w:ind w:firstLine="627" w:firstLineChars="200"/>
        <w:jc w:val="both"/>
        <w:textAlignment w:val="auto"/>
        <w:rPr>
          <w:rFonts w:hint="eastAsia" w:ascii="仿宋_GB2312" w:hAnsi="仿宋_GB2312" w:eastAsia="仿宋_GB2312" w:cs="仿宋_GB2312"/>
          <w:b/>
          <w:bCs w:val="0"/>
          <w:sz w:val="32"/>
          <w:szCs w:val="32"/>
          <w:highlight w:val="none"/>
        </w:rPr>
      </w:pPr>
      <w:r>
        <w:rPr>
          <w:rStyle w:val="20"/>
          <w:rFonts w:hint="eastAsia" w:ascii="仿宋_GB2312" w:hAnsi="仿宋_GB2312" w:eastAsia="仿宋_GB2312" w:cs="仿宋_GB2312"/>
          <w:b/>
          <w:bCs w:val="0"/>
          <w:spacing w:val="-4"/>
          <w:sz w:val="32"/>
          <w:szCs w:val="32"/>
          <w:highlight w:val="none"/>
        </w:rPr>
        <w:t>2</w:t>
      </w:r>
      <w:r>
        <w:rPr>
          <w:rStyle w:val="20"/>
          <w:rFonts w:hint="eastAsia" w:ascii="仿宋_GB2312" w:hAnsi="仿宋_GB2312" w:eastAsia="仿宋_GB2312" w:cs="仿宋_GB2312"/>
          <w:b/>
          <w:bCs w:val="0"/>
          <w:spacing w:val="-4"/>
          <w:sz w:val="32"/>
          <w:szCs w:val="32"/>
          <w:highlight w:val="none"/>
          <w:lang w:val="en-US" w:eastAsia="zh-CN"/>
        </w:rPr>
        <w:t>.</w:t>
      </w:r>
      <w:r>
        <w:rPr>
          <w:rFonts w:hint="eastAsia" w:ascii="仿宋_GB2312" w:hAnsi="仿宋_GB2312" w:eastAsia="仿宋_GB2312" w:cs="仿宋_GB2312"/>
          <w:b/>
          <w:bCs w:val="0"/>
          <w:sz w:val="32"/>
          <w:szCs w:val="32"/>
          <w:highlight w:val="none"/>
        </w:rPr>
        <w:t>城乡居民养老保险基金</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202</w:t>
      </w:r>
      <w:r>
        <w:rPr>
          <w:rFonts w:hint="eastAsia" w:ascii="仿宋_GB2312" w:hAnsi="仿宋_GB2312" w:eastAsia="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年度区本级城乡居民养老保险基金总支出</w:t>
      </w:r>
      <w:r>
        <w:rPr>
          <w:rFonts w:hint="eastAsia" w:ascii="仿宋_GB2312" w:hAnsi="仿宋_GB2312" w:eastAsia="仿宋_GB2312" w:cs="仿宋_GB2312"/>
          <w:bCs/>
          <w:sz w:val="32"/>
          <w:szCs w:val="32"/>
          <w:highlight w:val="none"/>
          <w:lang w:val="en-US" w:eastAsia="zh-CN"/>
        </w:rPr>
        <w:t>4257</w:t>
      </w:r>
      <w:r>
        <w:rPr>
          <w:rFonts w:hint="eastAsia" w:ascii="仿宋_GB2312" w:hAnsi="仿宋_GB2312" w:eastAsia="仿宋_GB2312" w:cs="仿宋_GB2312"/>
          <w:bCs/>
          <w:sz w:val="32"/>
          <w:szCs w:val="32"/>
          <w:highlight w:val="none"/>
        </w:rPr>
        <w:t>万元，</w:t>
      </w:r>
      <w:r>
        <w:rPr>
          <w:rFonts w:hint="eastAsia" w:ascii="仿宋_GB2312" w:hAnsi="仿宋_GB2312" w:eastAsia="仿宋_GB2312" w:cs="仿宋_GB2312"/>
          <w:bCs/>
          <w:kern w:val="0"/>
          <w:sz w:val="32"/>
          <w:szCs w:val="32"/>
          <w:highlight w:val="none"/>
        </w:rPr>
        <w:t>较上年增加</w:t>
      </w:r>
      <w:r>
        <w:rPr>
          <w:rFonts w:hint="eastAsia" w:ascii="仿宋_GB2312" w:hAnsi="仿宋_GB2312" w:eastAsia="仿宋_GB2312" w:cs="仿宋_GB2312"/>
          <w:bCs/>
          <w:kern w:val="0"/>
          <w:sz w:val="32"/>
          <w:szCs w:val="32"/>
          <w:highlight w:val="none"/>
          <w:lang w:val="en-US" w:eastAsia="zh-CN"/>
        </w:rPr>
        <w:t>97</w:t>
      </w:r>
      <w:r>
        <w:rPr>
          <w:rFonts w:hint="eastAsia" w:ascii="仿宋_GB2312" w:hAnsi="仿宋_GB2312" w:eastAsia="仿宋_GB2312" w:cs="仿宋_GB2312"/>
          <w:bCs/>
          <w:kern w:val="0"/>
          <w:sz w:val="32"/>
          <w:szCs w:val="32"/>
          <w:highlight w:val="none"/>
        </w:rPr>
        <w:t>万元，增加了</w:t>
      </w:r>
      <w:r>
        <w:rPr>
          <w:rFonts w:hint="eastAsia" w:ascii="仿宋_GB2312" w:hAnsi="仿宋_GB2312" w:eastAsia="仿宋_GB2312" w:cs="仿宋_GB2312"/>
          <w:bCs/>
          <w:kern w:val="0"/>
          <w:sz w:val="32"/>
          <w:szCs w:val="32"/>
          <w:highlight w:val="none"/>
          <w:lang w:val="en-US" w:eastAsia="zh-CN"/>
        </w:rPr>
        <w:t>2.33</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sz w:val="32"/>
          <w:szCs w:val="32"/>
          <w:highlight w:val="none"/>
        </w:rPr>
        <w:t>完成全年预算</w:t>
      </w:r>
      <w:r>
        <w:rPr>
          <w:rFonts w:hint="eastAsia" w:ascii="仿宋_GB2312" w:hAnsi="仿宋_GB2312" w:eastAsia="仿宋_GB2312" w:cs="仿宋_GB2312"/>
          <w:bCs/>
          <w:sz w:val="32"/>
          <w:szCs w:val="32"/>
          <w:highlight w:val="none"/>
          <w:lang w:val="en-US" w:eastAsia="zh-CN"/>
        </w:rPr>
        <w:t>4314</w:t>
      </w:r>
      <w:r>
        <w:rPr>
          <w:rFonts w:hint="eastAsia" w:ascii="仿宋_GB2312" w:hAnsi="仿宋_GB2312" w:eastAsia="仿宋_GB2312" w:cs="仿宋_GB2312"/>
          <w:bCs/>
          <w:sz w:val="32"/>
          <w:szCs w:val="32"/>
          <w:highlight w:val="none"/>
        </w:rPr>
        <w:t>万元的</w:t>
      </w:r>
      <w:r>
        <w:rPr>
          <w:rFonts w:hint="eastAsia" w:ascii="仿宋_GB2312" w:hAnsi="仿宋_GB2312" w:eastAsia="仿宋_GB2312" w:cs="仿宋_GB2312"/>
          <w:bCs/>
          <w:sz w:val="32"/>
          <w:szCs w:val="32"/>
          <w:highlight w:val="none"/>
          <w:lang w:val="en-US" w:eastAsia="zh-CN"/>
        </w:rPr>
        <w:t>98.68</w:t>
      </w:r>
      <w:r>
        <w:rPr>
          <w:rFonts w:hint="eastAsia" w:ascii="仿宋_GB2312" w:hAnsi="仿宋_GB2312" w:eastAsia="仿宋_GB2312" w:cs="仿宋_GB2312"/>
          <w:bCs/>
          <w:sz w:val="32"/>
          <w:szCs w:val="32"/>
          <w:highlight w:val="none"/>
        </w:rPr>
        <w:t>%。全年基础养老金发放到位率100%，高昌区本级在每月25日前按时足额发放各项待遇，中央基础养老金标准≧93元/人/月</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充分发挥社会保险的职能作用让离退休人员安享晚年，群众对城乡居民养老保险制度的满意度95%以上。</w:t>
      </w:r>
    </w:p>
    <w:p>
      <w:pPr>
        <w:keepNext w:val="0"/>
        <w:keepLines w:val="0"/>
        <w:pageBreakBefore w:val="0"/>
        <w:kinsoku/>
        <w:wordWrap/>
        <w:overflowPunct/>
        <w:topLinePunct w:val="0"/>
        <w:autoSpaceDE/>
        <w:autoSpaceDN/>
        <w:bidi w:val="0"/>
        <w:adjustRightInd/>
        <w:snapToGrid/>
        <w:spacing w:line="560" w:lineRule="exact"/>
        <w:ind w:firstLine="640"/>
        <w:jc w:val="both"/>
        <w:textAlignment w:val="auto"/>
        <w:rPr>
          <w:rStyle w:val="20"/>
          <w:rFonts w:hint="eastAsia" w:ascii="黑体" w:hAnsi="黑体" w:eastAsia="黑体" w:cs="黑体"/>
          <w:b w:val="0"/>
          <w:bCs/>
          <w:spacing w:val="-4"/>
          <w:sz w:val="32"/>
          <w:szCs w:val="32"/>
        </w:rPr>
      </w:pPr>
      <w:r>
        <w:rPr>
          <w:rStyle w:val="20"/>
          <w:rFonts w:hint="eastAsia" w:ascii="黑体" w:hAnsi="黑体" w:eastAsia="黑体" w:cs="黑体"/>
          <w:b w:val="0"/>
          <w:bCs/>
          <w:spacing w:val="-4"/>
          <w:sz w:val="32"/>
          <w:szCs w:val="32"/>
        </w:rPr>
        <w:t>四、其他需要说明的问题</w:t>
      </w:r>
    </w:p>
    <w:p>
      <w:pPr>
        <w:keepNext w:val="0"/>
        <w:keepLines w:val="0"/>
        <w:pageBreakBefore w:val="0"/>
        <w:kinsoku/>
        <w:wordWrap/>
        <w:overflowPunct/>
        <w:topLinePunct w:val="0"/>
        <w:autoSpaceDE/>
        <w:autoSpaceDN/>
        <w:bidi w:val="0"/>
        <w:adjustRightInd/>
        <w:snapToGrid/>
        <w:spacing w:line="560" w:lineRule="exact"/>
        <w:ind w:firstLine="567"/>
        <w:jc w:val="both"/>
        <w:textAlignment w:val="auto"/>
        <w:rPr>
          <w:rStyle w:val="20"/>
          <w:rFonts w:hint="eastAsia" w:ascii="楷体_GB2312" w:hAnsi="楷体_GB2312" w:eastAsia="楷体_GB2312" w:cs="楷体_GB2312"/>
          <w:b w:val="0"/>
          <w:spacing w:val="-4"/>
          <w:sz w:val="32"/>
          <w:szCs w:val="32"/>
        </w:rPr>
      </w:pPr>
      <w:r>
        <w:rPr>
          <w:rStyle w:val="20"/>
          <w:rFonts w:hint="eastAsia" w:ascii="楷体_GB2312" w:hAnsi="楷体_GB2312" w:eastAsia="楷体_GB2312" w:cs="楷体_GB2312"/>
          <w:b w:val="0"/>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养老保险按国家统一安排、同步调整企业和机关事业单位退休人员基本养老金。继续推动机关事业单位养老保险改革，全面实现参保缴费、待遇发放和新办法计发。</w:t>
      </w:r>
    </w:p>
    <w:p>
      <w:pPr>
        <w:keepNext w:val="0"/>
        <w:keepLines w:val="0"/>
        <w:pageBreakBefore w:val="0"/>
        <w:kinsoku/>
        <w:wordWrap/>
        <w:overflowPunct/>
        <w:topLinePunct w:val="0"/>
        <w:autoSpaceDE/>
        <w:autoSpaceDN/>
        <w:bidi w:val="0"/>
        <w:adjustRightInd/>
        <w:snapToGrid/>
        <w:spacing w:line="560" w:lineRule="exact"/>
        <w:ind w:firstLine="567"/>
        <w:jc w:val="both"/>
        <w:textAlignment w:val="auto"/>
        <w:rPr>
          <w:rStyle w:val="20"/>
          <w:rFonts w:hint="eastAsia" w:ascii="楷体_GB2312" w:hAnsi="楷体_GB2312" w:eastAsia="楷体_GB2312" w:cs="楷体_GB2312"/>
          <w:b w:val="0"/>
          <w:spacing w:val="-4"/>
          <w:sz w:val="32"/>
          <w:szCs w:val="32"/>
        </w:rPr>
      </w:pPr>
      <w:r>
        <w:rPr>
          <w:rStyle w:val="20"/>
          <w:rFonts w:hint="eastAsia" w:ascii="楷体_GB2312" w:hAnsi="楷体_GB2312" w:eastAsia="楷体_GB2312" w:cs="楷体_GB2312"/>
          <w:b w:val="0"/>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年是社会保障事业发展进入新阶段、实现新发展的关键之年。高昌区本级以基金安全运行为根本，以提高管理服务水平为重点，严格执行社会保险各项政策，建立健全内部控制制度，确保待遇发放，基金运行总体平稳。通过连续几年为企业减负，降低参保企业单位缴费费率，同时逐步提高各项保险待遇支付标准，使参保人员的获得感、幸福感不断增强。</w:t>
      </w:r>
    </w:p>
    <w:p>
      <w:pPr>
        <w:pStyle w:val="1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kern w:val="2"/>
          <w:sz w:val="32"/>
          <w:szCs w:val="32"/>
          <w:highlight w:val="none"/>
        </w:rPr>
      </w:pPr>
      <w:r>
        <w:rPr>
          <w:rFonts w:hint="eastAsia" w:ascii="仿宋_GB2312" w:hAnsi="仿宋_GB2312" w:eastAsia="仿宋_GB2312" w:cs="仿宋_GB2312"/>
          <w:kern w:val="2"/>
          <w:sz w:val="32"/>
          <w:szCs w:val="32"/>
          <w:highlight w:val="none"/>
        </w:rPr>
        <w:t>区本级各级社保经办机构按照“流程覆盖、环节把控、职责明确”的工作思路，把内控制度体系建设作为根本，实现了经办和管理工作规范、有效运行，保障了基金安全。</w:t>
      </w:r>
      <w:r>
        <w:rPr>
          <w:rFonts w:hint="eastAsia" w:ascii="仿宋_GB2312" w:hAnsi="仿宋_GB2312" w:eastAsia="仿宋_GB2312" w:cs="仿宋_GB2312"/>
          <w:b/>
          <w:bCs/>
          <w:kern w:val="2"/>
          <w:sz w:val="32"/>
          <w:szCs w:val="32"/>
          <w:highlight w:val="none"/>
        </w:rPr>
        <w:t>一是</w:t>
      </w:r>
      <w:r>
        <w:rPr>
          <w:rFonts w:hint="eastAsia" w:ascii="仿宋_GB2312" w:hAnsi="仿宋_GB2312" w:eastAsia="仿宋_GB2312" w:cs="仿宋_GB2312"/>
          <w:kern w:val="2"/>
          <w:sz w:val="32"/>
          <w:szCs w:val="32"/>
          <w:highlight w:val="none"/>
        </w:rPr>
        <w:t>健全综合内控制度。从组织机构、业务运行、基金财务、信息系统、内部控制等方面，制定内控制度、业务流程、岗位职责等，参保人员均按规定办理参保登记、个人账户信息修改、缴费等业务，严格执行统一的会计制度和收支业务审批制度，社保基金按规定对基金分别建账、分账核算，基金收入户、支出户和财政专户按规定开设账户，严格实行收支两条线管理，全面实行全程电子化，杜绝隐匿、转移、侵占、挪用基金的现象，确保基金专款专用。</w:t>
      </w:r>
      <w:r>
        <w:rPr>
          <w:rFonts w:hint="eastAsia" w:ascii="仿宋_GB2312" w:hAnsi="仿宋_GB2312" w:eastAsia="仿宋_GB2312" w:cs="仿宋_GB2312"/>
          <w:b/>
          <w:bCs/>
          <w:kern w:val="2"/>
          <w:sz w:val="32"/>
          <w:szCs w:val="32"/>
          <w:highlight w:val="none"/>
        </w:rPr>
        <w:t>二是</w:t>
      </w:r>
      <w:r>
        <w:rPr>
          <w:rFonts w:hint="eastAsia" w:ascii="仿宋_GB2312" w:hAnsi="仿宋_GB2312" w:eastAsia="仿宋_GB2312" w:cs="仿宋_GB2312"/>
          <w:kern w:val="2"/>
          <w:sz w:val="32"/>
          <w:szCs w:val="32"/>
          <w:highlight w:val="none"/>
        </w:rPr>
        <w:t>建立考核考评制度。及时调整完善内控考核办法，按规定设置岗位，增强社保经办机构干部力量，加强管理，严格遵守不相容职务相互分离的原则，业务审核岗位和审批岗位分离、审批岗位与计发待遇岗位分离、审批岗位与数据录入岗位分离、会计岗位与出纳岗位分离</w:t>
      </w:r>
      <w:r>
        <w:rPr>
          <w:rFonts w:hint="eastAsia" w:ascii="仿宋_GB2312" w:hAnsi="仿宋_GB2312" w:eastAsia="仿宋_GB2312" w:cs="仿宋_GB2312"/>
          <w:kern w:val="2"/>
          <w:sz w:val="32"/>
          <w:szCs w:val="32"/>
          <w:highlight w:val="none"/>
          <w:lang w:eastAsia="zh-CN"/>
        </w:rPr>
        <w:t>；</w:t>
      </w:r>
      <w:r>
        <w:rPr>
          <w:rFonts w:hint="eastAsia" w:ascii="仿宋_GB2312" w:hAnsi="仿宋_GB2312" w:eastAsia="仿宋_GB2312" w:cs="仿宋_GB2312"/>
          <w:kern w:val="2"/>
          <w:sz w:val="32"/>
          <w:szCs w:val="32"/>
          <w:highlight w:val="none"/>
        </w:rPr>
        <w:t>无违反业务规程、信息系统操作流程规定以及岗位职责、审批权限，办理社会保险业务、修改社会保险信息的现象</w:t>
      </w:r>
      <w:r>
        <w:rPr>
          <w:rFonts w:hint="eastAsia" w:ascii="仿宋_GB2312" w:hAnsi="仿宋_GB2312" w:eastAsia="仿宋_GB2312" w:cs="仿宋_GB2312"/>
          <w:kern w:val="2"/>
          <w:sz w:val="32"/>
          <w:szCs w:val="32"/>
          <w:highlight w:val="none"/>
          <w:lang w:eastAsia="zh-CN"/>
        </w:rPr>
        <w:t>；</w:t>
      </w:r>
      <w:r>
        <w:rPr>
          <w:rFonts w:hint="eastAsia" w:ascii="仿宋_GB2312" w:hAnsi="仿宋_GB2312" w:eastAsia="仿宋_GB2312" w:cs="仿宋_GB2312"/>
          <w:kern w:val="2"/>
          <w:sz w:val="32"/>
          <w:szCs w:val="32"/>
          <w:highlight w:val="none"/>
        </w:rPr>
        <w:t>财务与业务按月对账，按规定与基金开户银行、财政部门等核对基金的收付情况</w:t>
      </w:r>
      <w:r>
        <w:rPr>
          <w:rFonts w:hint="eastAsia" w:ascii="仿宋_GB2312" w:hAnsi="仿宋_GB2312" w:eastAsia="仿宋_GB2312" w:cs="仿宋_GB2312"/>
          <w:kern w:val="2"/>
          <w:sz w:val="32"/>
          <w:szCs w:val="32"/>
          <w:highlight w:val="none"/>
          <w:lang w:eastAsia="zh-CN"/>
        </w:rPr>
        <w:t>；</w:t>
      </w:r>
      <w:r>
        <w:rPr>
          <w:rFonts w:hint="eastAsia" w:ascii="仿宋_GB2312" w:hAnsi="仿宋_GB2312" w:eastAsia="仿宋_GB2312" w:cs="仿宋_GB2312"/>
          <w:kern w:val="2"/>
          <w:sz w:val="32"/>
          <w:szCs w:val="32"/>
          <w:highlight w:val="none"/>
        </w:rPr>
        <w:t>严格执行基金支付政策，按月编制基金支付计划，按月足额发放待遇，做到不拖欠、不挪用、不挤占社保基金。</w:t>
      </w:r>
    </w:p>
    <w:p>
      <w:pPr>
        <w:pStyle w:val="16"/>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bCs/>
          <w:color w:val="000000"/>
          <w:sz w:val="32"/>
          <w:szCs w:val="32"/>
          <w:highlight w:val="none"/>
        </w:rPr>
      </w:pPr>
      <w:r>
        <w:rPr>
          <w:rFonts w:hint="eastAsia" w:ascii="仿宋_GB2312" w:hAnsi="仿宋_GB2312" w:eastAsia="仿宋_GB2312" w:cs="仿宋_GB2312"/>
          <w:bCs/>
          <w:sz w:val="32"/>
          <w:szCs w:val="32"/>
          <w:highlight w:val="none"/>
        </w:rPr>
        <w:t>但还存在</w:t>
      </w:r>
      <w:r>
        <w:rPr>
          <w:rFonts w:hint="eastAsia" w:ascii="仿宋_GB2312" w:hAnsi="仿宋_GB2312" w:eastAsia="仿宋_GB2312" w:cs="仿宋_GB2312"/>
          <w:bCs/>
          <w:color w:val="000000"/>
          <w:sz w:val="32"/>
          <w:szCs w:val="32"/>
          <w:highlight w:val="none"/>
        </w:rPr>
        <w:t>以下两个方面的问题：</w:t>
      </w:r>
      <w:r>
        <w:rPr>
          <w:rFonts w:hint="eastAsia" w:ascii="仿宋_GB2312" w:hAnsi="仿宋_GB2312" w:eastAsia="仿宋_GB2312" w:cs="仿宋_GB2312"/>
          <w:b/>
          <w:bCs w:val="0"/>
          <w:color w:val="000000"/>
          <w:sz w:val="32"/>
          <w:szCs w:val="32"/>
          <w:highlight w:val="none"/>
        </w:rPr>
        <w:t>一是</w:t>
      </w:r>
      <w:r>
        <w:rPr>
          <w:rFonts w:hint="eastAsia" w:ascii="仿宋_GB2312" w:hAnsi="仿宋_GB2312" w:eastAsia="仿宋_GB2312" w:cs="仿宋_GB2312"/>
          <w:bCs/>
          <w:color w:val="000000"/>
          <w:sz w:val="32"/>
          <w:szCs w:val="32"/>
          <w:highlight w:val="none"/>
          <w:lang w:eastAsia="zh-CN"/>
        </w:rPr>
        <w:t>机关养老</w:t>
      </w:r>
      <w:r>
        <w:rPr>
          <w:rFonts w:hint="eastAsia" w:ascii="仿宋_GB2312" w:hAnsi="仿宋_GB2312" w:eastAsia="仿宋_GB2312" w:cs="仿宋_GB2312"/>
          <w:bCs/>
          <w:color w:val="000000"/>
          <w:sz w:val="32"/>
          <w:szCs w:val="32"/>
          <w:highlight w:val="none"/>
        </w:rPr>
        <w:t>基金收支平衡压力大，制度可持续发展面临新挑战。</w:t>
      </w:r>
      <w:r>
        <w:rPr>
          <w:rFonts w:hint="eastAsia" w:ascii="仿宋_GB2312" w:hAnsi="仿宋_GB2312" w:eastAsia="仿宋_GB2312" w:cs="仿宋_GB2312"/>
          <w:b/>
          <w:bCs w:val="0"/>
          <w:color w:val="000000"/>
          <w:sz w:val="32"/>
          <w:szCs w:val="32"/>
          <w:highlight w:val="none"/>
        </w:rPr>
        <w:t>二是</w:t>
      </w:r>
      <w:r>
        <w:rPr>
          <w:rFonts w:hint="eastAsia" w:ascii="仿宋_GB2312" w:hAnsi="仿宋_GB2312" w:eastAsia="仿宋_GB2312" w:cs="仿宋_GB2312"/>
          <w:bCs/>
          <w:sz w:val="32"/>
          <w:szCs w:val="32"/>
          <w:highlight w:val="none"/>
        </w:rPr>
        <w:t>工作人员岗位变动频繁，业务经办水平有待提高，对业务经办人员的培训工作有待加强</w:t>
      </w:r>
      <w:r>
        <w:rPr>
          <w:rFonts w:hint="eastAsia" w:ascii="仿宋_GB2312" w:hAnsi="仿宋_GB2312" w:eastAsia="仿宋_GB2312" w:cs="仿宋_GB2312"/>
          <w:bCs/>
          <w:color w:val="000000"/>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5"/>
        <w:jc w:val="both"/>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下一步区本级要进一步抓好</w:t>
      </w:r>
      <w:r>
        <w:rPr>
          <w:rFonts w:hint="eastAsia" w:ascii="仿宋_GB2312" w:hAnsi="仿宋_GB2312" w:eastAsia="仿宋_GB2312" w:cs="仿宋_GB2312"/>
          <w:bCs/>
          <w:kern w:val="0"/>
          <w:sz w:val="32"/>
          <w:szCs w:val="32"/>
          <w:highlight w:val="none"/>
        </w:rPr>
        <w:t>全力推进“全民参保计划”，积极采取措施、创新机制，扩大社会保险覆盖面，强化基金征缴，做到</w:t>
      </w:r>
      <w:r>
        <w:rPr>
          <w:rFonts w:hint="eastAsia" w:ascii="仿宋_GB2312" w:hAnsi="仿宋_GB2312" w:eastAsia="仿宋_GB2312" w:cs="仿宋_GB2312"/>
          <w:bCs/>
          <w:kern w:val="0"/>
          <w:sz w:val="32"/>
          <w:szCs w:val="32"/>
          <w:highlight w:val="none"/>
          <w:lang w:eastAsia="zh-CN"/>
        </w:rPr>
        <w:t>不留</w:t>
      </w:r>
      <w:r>
        <w:rPr>
          <w:rFonts w:hint="eastAsia" w:ascii="仿宋_GB2312" w:hAnsi="仿宋_GB2312" w:eastAsia="仿宋_GB2312" w:cs="仿宋_GB2312"/>
          <w:bCs/>
          <w:kern w:val="0"/>
          <w:sz w:val="32"/>
          <w:szCs w:val="32"/>
          <w:highlight w:val="none"/>
        </w:rPr>
        <w:t>死角。同时做好</w:t>
      </w:r>
      <w:r>
        <w:rPr>
          <w:rFonts w:hint="eastAsia" w:ascii="仿宋_GB2312" w:hAnsi="仿宋_GB2312" w:eastAsia="仿宋_GB2312" w:cs="仿宋_GB2312"/>
          <w:bCs/>
          <w:sz w:val="32"/>
          <w:szCs w:val="32"/>
          <w:highlight w:val="none"/>
        </w:rPr>
        <w:t>内部控制风险防控工作，加大对经办工作的监督检查，纠正和堵塞经办环节的漏洞和薄弱点，规范经办机构合理运行，确保基金安全。</w:t>
      </w:r>
    </w:p>
    <w:p>
      <w:pPr>
        <w:keepNext w:val="0"/>
        <w:keepLines w:val="0"/>
        <w:pageBreakBefore w:val="0"/>
        <w:kinsoku/>
        <w:wordWrap/>
        <w:overflowPunct/>
        <w:topLinePunct w:val="0"/>
        <w:autoSpaceDE/>
        <w:autoSpaceDN/>
        <w:bidi w:val="0"/>
        <w:adjustRightInd/>
        <w:snapToGrid/>
        <w:spacing w:line="560" w:lineRule="exact"/>
        <w:ind w:firstLine="640"/>
        <w:jc w:val="both"/>
        <w:textAlignment w:val="auto"/>
        <w:rPr>
          <w:rStyle w:val="20"/>
          <w:rFonts w:hint="eastAsia" w:ascii="黑体" w:hAnsi="黑体" w:eastAsia="黑体" w:cs="黑体"/>
          <w:b w:val="0"/>
          <w:bCs/>
          <w:spacing w:val="-4"/>
          <w:sz w:val="32"/>
          <w:szCs w:val="32"/>
        </w:rPr>
      </w:pPr>
      <w:r>
        <w:rPr>
          <w:rStyle w:val="20"/>
          <w:rFonts w:hint="eastAsia" w:ascii="黑体" w:hAnsi="黑体" w:eastAsia="黑体" w:cs="黑体"/>
          <w:b w:val="0"/>
          <w:bCs/>
          <w:spacing w:val="-4"/>
          <w:sz w:val="32"/>
          <w:szCs w:val="32"/>
        </w:rPr>
        <w:t>五、附表</w:t>
      </w:r>
    </w:p>
    <w:p>
      <w:pPr>
        <w:keepNext w:val="0"/>
        <w:keepLines w:val="0"/>
        <w:pageBreakBefore w:val="0"/>
        <w:kinsoku/>
        <w:wordWrap/>
        <w:overflowPunct/>
        <w:topLinePunct w:val="0"/>
        <w:autoSpaceDE/>
        <w:autoSpaceDN/>
        <w:bidi w:val="0"/>
        <w:adjustRightInd/>
        <w:snapToGrid/>
        <w:spacing w:line="560" w:lineRule="exact"/>
        <w:ind w:firstLine="567"/>
        <w:jc w:val="both"/>
        <w:textAlignment w:val="auto"/>
        <w:rPr>
          <w:rFonts w:hint="eastAsia" w:ascii="仿宋_GB2312" w:hAnsi="仿宋_GB2312" w:eastAsia="仿宋_GB2312" w:cs="仿宋_GB2312"/>
          <w:bCs/>
          <w:spacing w:val="-4"/>
          <w:sz w:val="32"/>
          <w:szCs w:val="32"/>
          <w:highlight w:val="none"/>
        </w:rPr>
      </w:pPr>
      <w:r>
        <w:rPr>
          <w:rFonts w:hint="eastAsia" w:ascii="仿宋_GB2312" w:hAnsi="仿宋_GB2312" w:eastAsia="仿宋_GB2312" w:cs="仿宋_GB2312"/>
          <w:bCs/>
          <w:spacing w:val="-4"/>
          <w:sz w:val="32"/>
          <w:szCs w:val="32"/>
          <w:highlight w:val="none"/>
          <w:lang w:val="en-US" w:eastAsia="zh-CN"/>
        </w:rPr>
        <w:t>2022年度</w:t>
      </w:r>
      <w:r>
        <w:rPr>
          <w:rFonts w:hint="eastAsia" w:ascii="仿宋_GB2312" w:hAnsi="仿宋_GB2312" w:eastAsia="仿宋_GB2312" w:cs="仿宋_GB2312"/>
          <w:bCs/>
          <w:spacing w:val="-4"/>
          <w:sz w:val="32"/>
          <w:szCs w:val="32"/>
          <w:highlight w:val="none"/>
        </w:rPr>
        <w:t>高昌区</w:t>
      </w:r>
      <w:r>
        <w:rPr>
          <w:rFonts w:hint="eastAsia" w:ascii="仿宋_GB2312" w:hAnsi="仿宋_GB2312" w:eastAsia="仿宋_GB2312" w:cs="仿宋_GB2312"/>
          <w:bCs/>
          <w:spacing w:val="-4"/>
          <w:sz w:val="32"/>
          <w:szCs w:val="32"/>
          <w:highlight w:val="none"/>
          <w:lang w:eastAsia="zh-CN"/>
        </w:rPr>
        <w:t>本级</w:t>
      </w:r>
      <w:r>
        <w:rPr>
          <w:rFonts w:hint="eastAsia" w:ascii="仿宋_GB2312" w:hAnsi="仿宋_GB2312" w:eastAsia="仿宋_GB2312" w:cs="仿宋_GB2312"/>
          <w:bCs/>
          <w:spacing w:val="-4"/>
          <w:sz w:val="32"/>
          <w:szCs w:val="32"/>
          <w:highlight w:val="none"/>
        </w:rPr>
        <w:t>社会保险支出绩效自评表</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lang w:val="en-US"/>
      </w:rPr>
      <w:fldChar w:fldCharType="begin"/>
    </w:r>
    <w:r>
      <w:instrText xml:space="preserve">PAGE   \* MERGEFORMAT</w:instrText>
    </w:r>
    <w:r>
      <w:rPr>
        <w:lang w:val="en-US"/>
      </w:rPr>
      <w:fldChar w:fldCharType="separate"/>
    </w:r>
    <w:r>
      <w:rPr>
        <w:lang w:val="zh-CN"/>
      </w:rPr>
      <w:t>4</w:t>
    </w:r>
    <w:r>
      <w:rPr>
        <w:lang w:val="zh-CN"/>
      </w:rPr>
      <w:fldChar w:fldCharType="end"/>
    </w:r>
  </w:p>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UyNTNlZGM3NzRkNjI0MzM5YWIzMTZmYWQ2YTRlZTcifQ=="/>
  </w:docVars>
  <w:rsids>
    <w:rsidRoot w:val="00CA6457"/>
    <w:rsid w:val="00000092"/>
    <w:rsid w:val="00021E40"/>
    <w:rsid w:val="00025EF9"/>
    <w:rsid w:val="00027004"/>
    <w:rsid w:val="0004256A"/>
    <w:rsid w:val="00050FD0"/>
    <w:rsid w:val="00056465"/>
    <w:rsid w:val="00066E02"/>
    <w:rsid w:val="00076826"/>
    <w:rsid w:val="000D1708"/>
    <w:rsid w:val="000D17EF"/>
    <w:rsid w:val="000D2EEF"/>
    <w:rsid w:val="000F2D08"/>
    <w:rsid w:val="000F3775"/>
    <w:rsid w:val="00105D78"/>
    <w:rsid w:val="00115984"/>
    <w:rsid w:val="00121AE4"/>
    <w:rsid w:val="0014174A"/>
    <w:rsid w:val="00146AAD"/>
    <w:rsid w:val="00161D85"/>
    <w:rsid w:val="00182AA5"/>
    <w:rsid w:val="001A26D7"/>
    <w:rsid w:val="001B3A40"/>
    <w:rsid w:val="001B6CEB"/>
    <w:rsid w:val="001C16BE"/>
    <w:rsid w:val="001C63AD"/>
    <w:rsid w:val="001E7D35"/>
    <w:rsid w:val="001E7F75"/>
    <w:rsid w:val="001F4AC5"/>
    <w:rsid w:val="00201D33"/>
    <w:rsid w:val="002063B9"/>
    <w:rsid w:val="00220BD9"/>
    <w:rsid w:val="002404D4"/>
    <w:rsid w:val="0026234F"/>
    <w:rsid w:val="0026691A"/>
    <w:rsid w:val="002836C0"/>
    <w:rsid w:val="002A2D6A"/>
    <w:rsid w:val="002C4738"/>
    <w:rsid w:val="002C7E2F"/>
    <w:rsid w:val="002D6A9F"/>
    <w:rsid w:val="002F449D"/>
    <w:rsid w:val="003211C3"/>
    <w:rsid w:val="00325819"/>
    <w:rsid w:val="003430D2"/>
    <w:rsid w:val="003441CD"/>
    <w:rsid w:val="0034466E"/>
    <w:rsid w:val="00347CB3"/>
    <w:rsid w:val="00350130"/>
    <w:rsid w:val="003622B8"/>
    <w:rsid w:val="00366D48"/>
    <w:rsid w:val="00372CC1"/>
    <w:rsid w:val="00380E5C"/>
    <w:rsid w:val="00392327"/>
    <w:rsid w:val="003A4DC2"/>
    <w:rsid w:val="003F25BF"/>
    <w:rsid w:val="004001D4"/>
    <w:rsid w:val="00404F39"/>
    <w:rsid w:val="00405F58"/>
    <w:rsid w:val="00411764"/>
    <w:rsid w:val="00413D47"/>
    <w:rsid w:val="004229E8"/>
    <w:rsid w:val="00426EFD"/>
    <w:rsid w:val="00431365"/>
    <w:rsid w:val="00434BF4"/>
    <w:rsid w:val="004366A8"/>
    <w:rsid w:val="00437F1D"/>
    <w:rsid w:val="0044075F"/>
    <w:rsid w:val="00455A96"/>
    <w:rsid w:val="0046089B"/>
    <w:rsid w:val="00460FE6"/>
    <w:rsid w:val="004709DE"/>
    <w:rsid w:val="0047378A"/>
    <w:rsid w:val="00474F2B"/>
    <w:rsid w:val="004973F4"/>
    <w:rsid w:val="004979B4"/>
    <w:rsid w:val="004C1E95"/>
    <w:rsid w:val="004D2D46"/>
    <w:rsid w:val="004E207A"/>
    <w:rsid w:val="004F27F3"/>
    <w:rsid w:val="005004F5"/>
    <w:rsid w:val="00502BA7"/>
    <w:rsid w:val="0051288D"/>
    <w:rsid w:val="005162F1"/>
    <w:rsid w:val="00535153"/>
    <w:rsid w:val="00536224"/>
    <w:rsid w:val="00554F82"/>
    <w:rsid w:val="00560BC4"/>
    <w:rsid w:val="0056390D"/>
    <w:rsid w:val="00566F31"/>
    <w:rsid w:val="005719B0"/>
    <w:rsid w:val="00593B42"/>
    <w:rsid w:val="005C50ED"/>
    <w:rsid w:val="005D10D6"/>
    <w:rsid w:val="005F1271"/>
    <w:rsid w:val="005F466B"/>
    <w:rsid w:val="005F54B6"/>
    <w:rsid w:val="005F72B3"/>
    <w:rsid w:val="006123DA"/>
    <w:rsid w:val="00633B5B"/>
    <w:rsid w:val="00674FB5"/>
    <w:rsid w:val="00676536"/>
    <w:rsid w:val="006B3927"/>
    <w:rsid w:val="006B7158"/>
    <w:rsid w:val="006D746E"/>
    <w:rsid w:val="006F1484"/>
    <w:rsid w:val="006F464B"/>
    <w:rsid w:val="00707199"/>
    <w:rsid w:val="007134DB"/>
    <w:rsid w:val="007216C5"/>
    <w:rsid w:val="00736993"/>
    <w:rsid w:val="00740CBA"/>
    <w:rsid w:val="00741077"/>
    <w:rsid w:val="007415A9"/>
    <w:rsid w:val="00753CE8"/>
    <w:rsid w:val="00761559"/>
    <w:rsid w:val="00762F71"/>
    <w:rsid w:val="0077467F"/>
    <w:rsid w:val="00774FC7"/>
    <w:rsid w:val="00777D99"/>
    <w:rsid w:val="007860A8"/>
    <w:rsid w:val="0078685C"/>
    <w:rsid w:val="007B139F"/>
    <w:rsid w:val="007B1E03"/>
    <w:rsid w:val="007C0559"/>
    <w:rsid w:val="007C28BA"/>
    <w:rsid w:val="007D158A"/>
    <w:rsid w:val="007D7188"/>
    <w:rsid w:val="007E3EE5"/>
    <w:rsid w:val="007E651C"/>
    <w:rsid w:val="007F3837"/>
    <w:rsid w:val="00803D96"/>
    <w:rsid w:val="00807098"/>
    <w:rsid w:val="00836484"/>
    <w:rsid w:val="00855E3A"/>
    <w:rsid w:val="00862049"/>
    <w:rsid w:val="00865D60"/>
    <w:rsid w:val="00865DFA"/>
    <w:rsid w:val="00866721"/>
    <w:rsid w:val="0088005C"/>
    <w:rsid w:val="00887418"/>
    <w:rsid w:val="00892FAA"/>
    <w:rsid w:val="008A2D3F"/>
    <w:rsid w:val="008B77C7"/>
    <w:rsid w:val="008D505C"/>
    <w:rsid w:val="008D7E95"/>
    <w:rsid w:val="008E50B0"/>
    <w:rsid w:val="00922CB9"/>
    <w:rsid w:val="00941E22"/>
    <w:rsid w:val="00944909"/>
    <w:rsid w:val="009604E3"/>
    <w:rsid w:val="00962F90"/>
    <w:rsid w:val="009B5284"/>
    <w:rsid w:val="009B5D7E"/>
    <w:rsid w:val="009E5CD9"/>
    <w:rsid w:val="009F4E7D"/>
    <w:rsid w:val="00A06442"/>
    <w:rsid w:val="00A22D64"/>
    <w:rsid w:val="00A26421"/>
    <w:rsid w:val="00A4293B"/>
    <w:rsid w:val="00A50F66"/>
    <w:rsid w:val="00A54C29"/>
    <w:rsid w:val="00A67D50"/>
    <w:rsid w:val="00A8691A"/>
    <w:rsid w:val="00A9261F"/>
    <w:rsid w:val="00A938D6"/>
    <w:rsid w:val="00AA45C1"/>
    <w:rsid w:val="00AC1946"/>
    <w:rsid w:val="00AD47BC"/>
    <w:rsid w:val="00AD68E3"/>
    <w:rsid w:val="00AE56F3"/>
    <w:rsid w:val="00B05237"/>
    <w:rsid w:val="00B130E3"/>
    <w:rsid w:val="00B35B63"/>
    <w:rsid w:val="00B40063"/>
    <w:rsid w:val="00B41F61"/>
    <w:rsid w:val="00B4387C"/>
    <w:rsid w:val="00B45C7B"/>
    <w:rsid w:val="00B9114F"/>
    <w:rsid w:val="00B91A82"/>
    <w:rsid w:val="00B95496"/>
    <w:rsid w:val="00BA46E6"/>
    <w:rsid w:val="00BB200C"/>
    <w:rsid w:val="00BC5DAB"/>
    <w:rsid w:val="00BD67AA"/>
    <w:rsid w:val="00BE7480"/>
    <w:rsid w:val="00BF5871"/>
    <w:rsid w:val="00BF732B"/>
    <w:rsid w:val="00C0269D"/>
    <w:rsid w:val="00C13287"/>
    <w:rsid w:val="00C14E17"/>
    <w:rsid w:val="00C56C72"/>
    <w:rsid w:val="00C60CBF"/>
    <w:rsid w:val="00C70524"/>
    <w:rsid w:val="00C80FEA"/>
    <w:rsid w:val="00C81142"/>
    <w:rsid w:val="00C90338"/>
    <w:rsid w:val="00CA6457"/>
    <w:rsid w:val="00CB07E4"/>
    <w:rsid w:val="00CD67B3"/>
    <w:rsid w:val="00CF542D"/>
    <w:rsid w:val="00D140AA"/>
    <w:rsid w:val="00D17F2E"/>
    <w:rsid w:val="00D25887"/>
    <w:rsid w:val="00D30354"/>
    <w:rsid w:val="00D70964"/>
    <w:rsid w:val="00D73FF2"/>
    <w:rsid w:val="00DC2A53"/>
    <w:rsid w:val="00DD385A"/>
    <w:rsid w:val="00DE4F0A"/>
    <w:rsid w:val="00DF42A0"/>
    <w:rsid w:val="00DF5330"/>
    <w:rsid w:val="00E01A1E"/>
    <w:rsid w:val="00E12EE9"/>
    <w:rsid w:val="00E20C34"/>
    <w:rsid w:val="00E25910"/>
    <w:rsid w:val="00E4394D"/>
    <w:rsid w:val="00E604EB"/>
    <w:rsid w:val="00E65355"/>
    <w:rsid w:val="00E769FE"/>
    <w:rsid w:val="00E96C01"/>
    <w:rsid w:val="00EA2CBE"/>
    <w:rsid w:val="00EA7349"/>
    <w:rsid w:val="00ED1892"/>
    <w:rsid w:val="00EF1181"/>
    <w:rsid w:val="00EF124C"/>
    <w:rsid w:val="00EF5176"/>
    <w:rsid w:val="00F03EFE"/>
    <w:rsid w:val="00F15EFD"/>
    <w:rsid w:val="00F22933"/>
    <w:rsid w:val="00F32FEE"/>
    <w:rsid w:val="00F41A82"/>
    <w:rsid w:val="00F4503B"/>
    <w:rsid w:val="00F7250A"/>
    <w:rsid w:val="00F7569F"/>
    <w:rsid w:val="00F7692E"/>
    <w:rsid w:val="00F91058"/>
    <w:rsid w:val="00F9543A"/>
    <w:rsid w:val="00F97ED5"/>
    <w:rsid w:val="00FA03C9"/>
    <w:rsid w:val="00FB10BB"/>
    <w:rsid w:val="00FC42A8"/>
    <w:rsid w:val="00FC76F2"/>
    <w:rsid w:val="00FD38A0"/>
    <w:rsid w:val="00FD45BD"/>
    <w:rsid w:val="00FD683C"/>
    <w:rsid w:val="00FF0D98"/>
    <w:rsid w:val="00FF55FC"/>
    <w:rsid w:val="01116FEC"/>
    <w:rsid w:val="03E32227"/>
    <w:rsid w:val="04EB4934"/>
    <w:rsid w:val="09A50626"/>
    <w:rsid w:val="0BBC293C"/>
    <w:rsid w:val="0CCD73A0"/>
    <w:rsid w:val="0ED87EFC"/>
    <w:rsid w:val="149F3E1B"/>
    <w:rsid w:val="15D9065B"/>
    <w:rsid w:val="166879CC"/>
    <w:rsid w:val="18855F45"/>
    <w:rsid w:val="1B1725A0"/>
    <w:rsid w:val="1BA40D39"/>
    <w:rsid w:val="1DD24609"/>
    <w:rsid w:val="1F3604D9"/>
    <w:rsid w:val="20317511"/>
    <w:rsid w:val="20646BC2"/>
    <w:rsid w:val="22767E12"/>
    <w:rsid w:val="27991A32"/>
    <w:rsid w:val="28D159E7"/>
    <w:rsid w:val="2AE45F76"/>
    <w:rsid w:val="2DCC62C6"/>
    <w:rsid w:val="30BE0F9C"/>
    <w:rsid w:val="30EE20E9"/>
    <w:rsid w:val="31F23AFE"/>
    <w:rsid w:val="34236B8C"/>
    <w:rsid w:val="356A7949"/>
    <w:rsid w:val="37413820"/>
    <w:rsid w:val="37516C17"/>
    <w:rsid w:val="37C45358"/>
    <w:rsid w:val="38780725"/>
    <w:rsid w:val="39B37773"/>
    <w:rsid w:val="3BB70555"/>
    <w:rsid w:val="3BC62FAE"/>
    <w:rsid w:val="3BC7304C"/>
    <w:rsid w:val="3C6C7651"/>
    <w:rsid w:val="3D1D27B2"/>
    <w:rsid w:val="3D9B1B2B"/>
    <w:rsid w:val="3F055516"/>
    <w:rsid w:val="3FEB75A1"/>
    <w:rsid w:val="401412B0"/>
    <w:rsid w:val="41E3720B"/>
    <w:rsid w:val="41F46496"/>
    <w:rsid w:val="449C451D"/>
    <w:rsid w:val="453266BC"/>
    <w:rsid w:val="460D4FFE"/>
    <w:rsid w:val="461013C6"/>
    <w:rsid w:val="47FB44A6"/>
    <w:rsid w:val="48FD542D"/>
    <w:rsid w:val="4AF446C2"/>
    <w:rsid w:val="4BDB7DA7"/>
    <w:rsid w:val="4C5F7F78"/>
    <w:rsid w:val="4E47570F"/>
    <w:rsid w:val="53005138"/>
    <w:rsid w:val="5447318A"/>
    <w:rsid w:val="58D75736"/>
    <w:rsid w:val="5BD37F56"/>
    <w:rsid w:val="5C4806EE"/>
    <w:rsid w:val="5D57207E"/>
    <w:rsid w:val="5F6D2D36"/>
    <w:rsid w:val="608C353B"/>
    <w:rsid w:val="60A3324D"/>
    <w:rsid w:val="61850D4D"/>
    <w:rsid w:val="65C07533"/>
    <w:rsid w:val="66437D33"/>
    <w:rsid w:val="684B0830"/>
    <w:rsid w:val="69B91819"/>
    <w:rsid w:val="69ED0AF4"/>
    <w:rsid w:val="6C0A0ACE"/>
    <w:rsid w:val="6D17173C"/>
    <w:rsid w:val="6D747692"/>
    <w:rsid w:val="70B07B00"/>
    <w:rsid w:val="730B0765"/>
    <w:rsid w:val="75415354"/>
    <w:rsid w:val="75AE4E59"/>
    <w:rsid w:val="76243622"/>
    <w:rsid w:val="774908A2"/>
    <w:rsid w:val="77716415"/>
    <w:rsid w:val="78BB1C2A"/>
    <w:rsid w:val="7B270171"/>
    <w:rsid w:val="7BDE0F75"/>
    <w:rsid w:val="7D980D38"/>
    <w:rsid w:val="7E670D9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9"/>
    <w:pPr>
      <w:keepNext/>
      <w:widowControl/>
      <w:spacing w:before="240" w:after="60"/>
      <w:jc w:val="left"/>
      <w:outlineLvl w:val="0"/>
    </w:pPr>
    <w:rPr>
      <w:rFonts w:ascii="Cambria" w:hAnsi="Cambria"/>
      <w:b/>
      <w:bCs/>
      <w:kern w:val="32"/>
      <w:sz w:val="32"/>
      <w:szCs w:val="32"/>
    </w:rPr>
  </w:style>
  <w:style w:type="paragraph" w:styleId="4">
    <w:name w:val="heading 2"/>
    <w:basedOn w:val="1"/>
    <w:next w:val="1"/>
    <w:link w:val="23"/>
    <w:qFormat/>
    <w:uiPriority w:val="99"/>
    <w:pPr>
      <w:keepNext/>
      <w:widowControl/>
      <w:spacing w:before="240" w:after="60"/>
      <w:jc w:val="left"/>
      <w:outlineLvl w:val="1"/>
    </w:pPr>
    <w:rPr>
      <w:rFonts w:ascii="Cambria" w:hAnsi="Cambria"/>
      <w:b/>
      <w:bCs/>
      <w:i/>
      <w:iCs/>
      <w:kern w:val="0"/>
      <w:sz w:val="28"/>
      <w:szCs w:val="28"/>
    </w:rPr>
  </w:style>
  <w:style w:type="paragraph" w:styleId="5">
    <w:name w:val="heading 3"/>
    <w:basedOn w:val="1"/>
    <w:next w:val="1"/>
    <w:link w:val="24"/>
    <w:qFormat/>
    <w:uiPriority w:val="99"/>
    <w:pPr>
      <w:keepNext/>
      <w:widowControl/>
      <w:spacing w:before="240" w:after="60"/>
      <w:jc w:val="left"/>
      <w:outlineLvl w:val="2"/>
    </w:pPr>
    <w:rPr>
      <w:rFonts w:ascii="Cambria" w:hAnsi="Cambria"/>
      <w:b/>
      <w:bCs/>
      <w:kern w:val="0"/>
      <w:sz w:val="26"/>
      <w:szCs w:val="26"/>
    </w:rPr>
  </w:style>
  <w:style w:type="paragraph" w:styleId="6">
    <w:name w:val="heading 4"/>
    <w:basedOn w:val="1"/>
    <w:next w:val="1"/>
    <w:link w:val="25"/>
    <w:qFormat/>
    <w:uiPriority w:val="99"/>
    <w:pPr>
      <w:keepNext/>
      <w:widowControl/>
      <w:spacing w:before="240" w:after="60"/>
      <w:jc w:val="left"/>
      <w:outlineLvl w:val="3"/>
    </w:pPr>
    <w:rPr>
      <w:b/>
      <w:bCs/>
      <w:kern w:val="0"/>
      <w:sz w:val="28"/>
      <w:szCs w:val="28"/>
    </w:rPr>
  </w:style>
  <w:style w:type="paragraph" w:styleId="7">
    <w:name w:val="heading 5"/>
    <w:basedOn w:val="1"/>
    <w:next w:val="1"/>
    <w:link w:val="26"/>
    <w:qFormat/>
    <w:uiPriority w:val="99"/>
    <w:pPr>
      <w:widowControl/>
      <w:spacing w:before="240" w:after="60"/>
      <w:jc w:val="left"/>
      <w:outlineLvl w:val="4"/>
    </w:pPr>
    <w:rPr>
      <w:b/>
      <w:bCs/>
      <w:i/>
      <w:iCs/>
      <w:kern w:val="0"/>
      <w:sz w:val="26"/>
      <w:szCs w:val="26"/>
    </w:rPr>
  </w:style>
  <w:style w:type="paragraph" w:styleId="8">
    <w:name w:val="heading 6"/>
    <w:basedOn w:val="1"/>
    <w:next w:val="1"/>
    <w:link w:val="27"/>
    <w:qFormat/>
    <w:uiPriority w:val="99"/>
    <w:pPr>
      <w:widowControl/>
      <w:spacing w:before="240" w:after="60"/>
      <w:jc w:val="left"/>
      <w:outlineLvl w:val="5"/>
    </w:pPr>
    <w:rPr>
      <w:b/>
      <w:bCs/>
      <w:kern w:val="0"/>
      <w:sz w:val="20"/>
      <w:szCs w:val="20"/>
    </w:rPr>
  </w:style>
  <w:style w:type="paragraph" w:styleId="9">
    <w:name w:val="heading 7"/>
    <w:basedOn w:val="1"/>
    <w:next w:val="1"/>
    <w:link w:val="28"/>
    <w:qFormat/>
    <w:uiPriority w:val="99"/>
    <w:pPr>
      <w:widowControl/>
      <w:spacing w:before="240" w:after="60"/>
      <w:jc w:val="left"/>
      <w:outlineLvl w:val="6"/>
    </w:pPr>
    <w:rPr>
      <w:kern w:val="0"/>
      <w:sz w:val="24"/>
    </w:rPr>
  </w:style>
  <w:style w:type="paragraph" w:styleId="10">
    <w:name w:val="heading 8"/>
    <w:basedOn w:val="1"/>
    <w:next w:val="1"/>
    <w:link w:val="29"/>
    <w:qFormat/>
    <w:uiPriority w:val="99"/>
    <w:pPr>
      <w:widowControl/>
      <w:spacing w:before="240" w:after="60"/>
      <w:jc w:val="left"/>
      <w:outlineLvl w:val="7"/>
    </w:pPr>
    <w:rPr>
      <w:i/>
      <w:iCs/>
      <w:kern w:val="0"/>
      <w:sz w:val="24"/>
    </w:rPr>
  </w:style>
  <w:style w:type="paragraph" w:styleId="11">
    <w:name w:val="heading 9"/>
    <w:basedOn w:val="1"/>
    <w:next w:val="1"/>
    <w:link w:val="30"/>
    <w:qFormat/>
    <w:uiPriority w:val="99"/>
    <w:pPr>
      <w:widowControl/>
      <w:spacing w:before="240" w:after="60"/>
      <w:jc w:val="left"/>
      <w:outlineLvl w:val="8"/>
    </w:pPr>
    <w:rPr>
      <w:rFonts w:ascii="Cambria" w:hAnsi="Cambria"/>
      <w:kern w:val="0"/>
      <w:sz w:val="20"/>
      <w:szCs w:val="20"/>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1"/>
    <w:qFormat/>
    <w:uiPriority w:val="99"/>
    <w:pPr>
      <w:jc w:val="center"/>
    </w:pPr>
    <w:rPr>
      <w:kern w:val="0"/>
      <w:sz w:val="20"/>
    </w:rPr>
  </w:style>
  <w:style w:type="paragraph" w:styleId="12">
    <w:name w:val="Balloon Text"/>
    <w:basedOn w:val="1"/>
    <w:link w:val="32"/>
    <w:semiHidden/>
    <w:qFormat/>
    <w:uiPriority w:val="99"/>
    <w:rPr>
      <w:sz w:val="18"/>
      <w:szCs w:val="18"/>
    </w:rPr>
  </w:style>
  <w:style w:type="paragraph" w:styleId="13">
    <w:name w:val="footer"/>
    <w:basedOn w:val="1"/>
    <w:link w:val="33"/>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34"/>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5"/>
    <w:qFormat/>
    <w:uiPriority w:val="99"/>
    <w:pPr>
      <w:widowControl/>
      <w:spacing w:after="60"/>
      <w:jc w:val="center"/>
      <w:outlineLvl w:val="1"/>
    </w:pPr>
    <w:rPr>
      <w:rFonts w:ascii="Cambria" w:hAnsi="Cambria"/>
      <w:kern w:val="0"/>
      <w:sz w:val="24"/>
    </w:rPr>
  </w:style>
  <w:style w:type="paragraph" w:styleId="16">
    <w:name w:val="Normal (Web)"/>
    <w:basedOn w:val="1"/>
    <w:semiHidden/>
    <w:qFormat/>
    <w:uiPriority w:val="99"/>
    <w:pPr>
      <w:spacing w:beforeAutospacing="1" w:afterAutospacing="1"/>
      <w:jc w:val="left"/>
    </w:pPr>
    <w:rPr>
      <w:kern w:val="0"/>
      <w:sz w:val="24"/>
    </w:rPr>
  </w:style>
  <w:style w:type="paragraph" w:styleId="17">
    <w:name w:val="Title"/>
    <w:basedOn w:val="1"/>
    <w:next w:val="1"/>
    <w:link w:val="36"/>
    <w:qFormat/>
    <w:uiPriority w:val="99"/>
    <w:pPr>
      <w:widowControl/>
      <w:spacing w:before="240" w:after="60"/>
      <w:jc w:val="center"/>
      <w:outlineLvl w:val="0"/>
    </w:pPr>
    <w:rPr>
      <w:rFonts w:ascii="Cambria" w:hAnsi="Cambria"/>
      <w:b/>
      <w:bCs/>
      <w:kern w:val="28"/>
      <w:sz w:val="32"/>
      <w:szCs w:val="32"/>
    </w:rPr>
  </w:style>
  <w:style w:type="character" w:styleId="20">
    <w:name w:val="Strong"/>
    <w:qFormat/>
    <w:uiPriority w:val="0"/>
    <w:rPr>
      <w:rFonts w:cs="Times New Roman"/>
      <w:b/>
      <w:bCs/>
    </w:rPr>
  </w:style>
  <w:style w:type="character" w:styleId="21">
    <w:name w:val="Emphasis"/>
    <w:qFormat/>
    <w:uiPriority w:val="99"/>
    <w:rPr>
      <w:rFonts w:ascii="Calibri" w:hAnsi="Calibri" w:cs="Times New Roman"/>
      <w:b/>
      <w:i/>
      <w:iCs/>
    </w:rPr>
  </w:style>
  <w:style w:type="character" w:customStyle="1" w:styleId="22">
    <w:name w:val="标题 1 Char"/>
    <w:link w:val="3"/>
    <w:qFormat/>
    <w:locked/>
    <w:uiPriority w:val="99"/>
    <w:rPr>
      <w:rFonts w:ascii="Cambria" w:hAnsi="Cambria" w:eastAsia="宋体" w:cs="Times New Roman"/>
      <w:b/>
      <w:bCs/>
      <w:kern w:val="32"/>
      <w:sz w:val="32"/>
      <w:szCs w:val="32"/>
    </w:rPr>
  </w:style>
  <w:style w:type="character" w:customStyle="1" w:styleId="23">
    <w:name w:val="标题 2 Char"/>
    <w:link w:val="4"/>
    <w:semiHidden/>
    <w:qFormat/>
    <w:locked/>
    <w:uiPriority w:val="99"/>
    <w:rPr>
      <w:rFonts w:ascii="Cambria" w:hAnsi="Cambria" w:eastAsia="宋体" w:cs="Times New Roman"/>
      <w:b/>
      <w:bCs/>
      <w:i/>
      <w:iCs/>
      <w:sz w:val="28"/>
      <w:szCs w:val="28"/>
    </w:rPr>
  </w:style>
  <w:style w:type="character" w:customStyle="1" w:styleId="24">
    <w:name w:val="标题 3 Char"/>
    <w:link w:val="5"/>
    <w:semiHidden/>
    <w:qFormat/>
    <w:locked/>
    <w:uiPriority w:val="99"/>
    <w:rPr>
      <w:rFonts w:ascii="Cambria" w:hAnsi="Cambria" w:eastAsia="宋体" w:cs="Times New Roman"/>
      <w:b/>
      <w:bCs/>
      <w:sz w:val="26"/>
      <w:szCs w:val="26"/>
    </w:rPr>
  </w:style>
  <w:style w:type="character" w:customStyle="1" w:styleId="25">
    <w:name w:val="标题 4 Char"/>
    <w:link w:val="6"/>
    <w:semiHidden/>
    <w:qFormat/>
    <w:locked/>
    <w:uiPriority w:val="99"/>
    <w:rPr>
      <w:rFonts w:cs="Times New Roman"/>
      <w:b/>
      <w:bCs/>
      <w:sz w:val="28"/>
      <w:szCs w:val="28"/>
    </w:rPr>
  </w:style>
  <w:style w:type="character" w:customStyle="1" w:styleId="26">
    <w:name w:val="标题 5 Char"/>
    <w:link w:val="7"/>
    <w:semiHidden/>
    <w:qFormat/>
    <w:locked/>
    <w:uiPriority w:val="99"/>
    <w:rPr>
      <w:rFonts w:cs="Times New Roman"/>
      <w:b/>
      <w:bCs/>
      <w:i/>
      <w:iCs/>
      <w:sz w:val="26"/>
      <w:szCs w:val="26"/>
    </w:rPr>
  </w:style>
  <w:style w:type="character" w:customStyle="1" w:styleId="27">
    <w:name w:val="标题 6 Char"/>
    <w:link w:val="8"/>
    <w:semiHidden/>
    <w:qFormat/>
    <w:locked/>
    <w:uiPriority w:val="99"/>
    <w:rPr>
      <w:rFonts w:cs="Times New Roman"/>
      <w:b/>
      <w:bCs/>
    </w:rPr>
  </w:style>
  <w:style w:type="character" w:customStyle="1" w:styleId="28">
    <w:name w:val="标题 7 Char"/>
    <w:link w:val="9"/>
    <w:semiHidden/>
    <w:qFormat/>
    <w:locked/>
    <w:uiPriority w:val="99"/>
    <w:rPr>
      <w:rFonts w:cs="Times New Roman"/>
      <w:sz w:val="24"/>
      <w:szCs w:val="24"/>
    </w:rPr>
  </w:style>
  <w:style w:type="character" w:customStyle="1" w:styleId="29">
    <w:name w:val="标题 8 Char"/>
    <w:link w:val="10"/>
    <w:semiHidden/>
    <w:qFormat/>
    <w:locked/>
    <w:uiPriority w:val="99"/>
    <w:rPr>
      <w:rFonts w:cs="Times New Roman"/>
      <w:i/>
      <w:iCs/>
      <w:sz w:val="24"/>
      <w:szCs w:val="24"/>
    </w:rPr>
  </w:style>
  <w:style w:type="character" w:customStyle="1" w:styleId="30">
    <w:name w:val="标题 9 Char"/>
    <w:link w:val="11"/>
    <w:semiHidden/>
    <w:qFormat/>
    <w:locked/>
    <w:uiPriority w:val="99"/>
    <w:rPr>
      <w:rFonts w:ascii="Cambria" w:hAnsi="Cambria" w:eastAsia="宋体" w:cs="Times New Roman"/>
    </w:rPr>
  </w:style>
  <w:style w:type="character" w:customStyle="1" w:styleId="31">
    <w:name w:val="正文文本 Char"/>
    <w:link w:val="2"/>
    <w:semiHidden/>
    <w:qFormat/>
    <w:uiPriority w:val="99"/>
    <w:rPr>
      <w:szCs w:val="24"/>
    </w:rPr>
  </w:style>
  <w:style w:type="character" w:customStyle="1" w:styleId="32">
    <w:name w:val="批注框文本 Char"/>
    <w:link w:val="12"/>
    <w:semiHidden/>
    <w:qFormat/>
    <w:locked/>
    <w:uiPriority w:val="99"/>
    <w:rPr>
      <w:rFonts w:ascii="Times New Roman" w:hAnsi="Times New Roman" w:eastAsia="宋体" w:cs="Times New Roman"/>
      <w:kern w:val="2"/>
      <w:sz w:val="18"/>
      <w:szCs w:val="18"/>
    </w:rPr>
  </w:style>
  <w:style w:type="character" w:customStyle="1" w:styleId="33">
    <w:name w:val="页脚 Char"/>
    <w:link w:val="13"/>
    <w:qFormat/>
    <w:locked/>
    <w:uiPriority w:val="99"/>
    <w:rPr>
      <w:rFonts w:ascii="Calibri" w:hAnsi="Calibri" w:eastAsia="宋体" w:cs="Times New Roman"/>
      <w:kern w:val="2"/>
      <w:sz w:val="18"/>
      <w:szCs w:val="18"/>
    </w:rPr>
  </w:style>
  <w:style w:type="character" w:customStyle="1" w:styleId="34">
    <w:name w:val="页眉 Char"/>
    <w:link w:val="14"/>
    <w:qFormat/>
    <w:locked/>
    <w:uiPriority w:val="99"/>
    <w:rPr>
      <w:rFonts w:ascii="Calibri" w:hAnsi="Calibri" w:eastAsia="宋体" w:cs="Times New Roman"/>
      <w:kern w:val="2"/>
      <w:sz w:val="18"/>
      <w:szCs w:val="18"/>
    </w:rPr>
  </w:style>
  <w:style w:type="character" w:customStyle="1" w:styleId="35">
    <w:name w:val="副标题 Char"/>
    <w:link w:val="15"/>
    <w:qFormat/>
    <w:locked/>
    <w:uiPriority w:val="99"/>
    <w:rPr>
      <w:rFonts w:ascii="Cambria" w:hAnsi="Cambria" w:eastAsia="宋体" w:cs="Times New Roman"/>
      <w:sz w:val="24"/>
      <w:szCs w:val="24"/>
    </w:rPr>
  </w:style>
  <w:style w:type="character" w:customStyle="1" w:styleId="36">
    <w:name w:val="标题 Char"/>
    <w:link w:val="17"/>
    <w:qFormat/>
    <w:locked/>
    <w:uiPriority w:val="99"/>
    <w:rPr>
      <w:rFonts w:ascii="Cambria" w:hAnsi="Cambria" w:eastAsia="宋体" w:cs="Times New Roman"/>
      <w:b/>
      <w:bCs/>
      <w:kern w:val="28"/>
      <w:sz w:val="32"/>
      <w:szCs w:val="32"/>
    </w:rPr>
  </w:style>
  <w:style w:type="paragraph" w:styleId="37">
    <w:name w:val="No Spacing"/>
    <w:basedOn w:val="1"/>
    <w:qFormat/>
    <w:uiPriority w:val="99"/>
    <w:pPr>
      <w:widowControl/>
      <w:jc w:val="left"/>
    </w:pPr>
    <w:rPr>
      <w:rFonts w:ascii="Calibri" w:hAnsi="Calibri"/>
      <w:kern w:val="0"/>
      <w:sz w:val="24"/>
      <w:szCs w:val="32"/>
      <w:lang w:eastAsia="en-US"/>
    </w:rPr>
  </w:style>
  <w:style w:type="paragraph" w:styleId="38">
    <w:name w:val="List Paragraph"/>
    <w:basedOn w:val="1"/>
    <w:qFormat/>
    <w:uiPriority w:val="99"/>
    <w:pPr>
      <w:widowControl/>
      <w:ind w:left="720"/>
      <w:contextualSpacing/>
      <w:jc w:val="left"/>
    </w:pPr>
    <w:rPr>
      <w:rFonts w:ascii="Calibri" w:hAnsi="Calibri"/>
      <w:kern w:val="0"/>
      <w:sz w:val="24"/>
      <w:lang w:eastAsia="en-US"/>
    </w:rPr>
  </w:style>
  <w:style w:type="paragraph" w:styleId="39">
    <w:name w:val="Quote"/>
    <w:basedOn w:val="1"/>
    <w:next w:val="1"/>
    <w:link w:val="40"/>
    <w:qFormat/>
    <w:uiPriority w:val="99"/>
    <w:pPr>
      <w:widowControl/>
      <w:jc w:val="left"/>
    </w:pPr>
    <w:rPr>
      <w:i/>
      <w:kern w:val="0"/>
      <w:sz w:val="24"/>
    </w:rPr>
  </w:style>
  <w:style w:type="character" w:customStyle="1" w:styleId="40">
    <w:name w:val="引用 Char"/>
    <w:link w:val="39"/>
    <w:qFormat/>
    <w:locked/>
    <w:uiPriority w:val="99"/>
    <w:rPr>
      <w:rFonts w:cs="Times New Roman"/>
      <w:i/>
      <w:sz w:val="24"/>
      <w:szCs w:val="24"/>
    </w:rPr>
  </w:style>
  <w:style w:type="paragraph" w:styleId="41">
    <w:name w:val="Intense Quote"/>
    <w:basedOn w:val="1"/>
    <w:next w:val="1"/>
    <w:link w:val="42"/>
    <w:qFormat/>
    <w:uiPriority w:val="99"/>
    <w:pPr>
      <w:widowControl/>
      <w:ind w:left="720" w:right="720"/>
      <w:jc w:val="left"/>
    </w:pPr>
    <w:rPr>
      <w:b/>
      <w:i/>
      <w:kern w:val="0"/>
      <w:sz w:val="24"/>
      <w:szCs w:val="20"/>
    </w:rPr>
  </w:style>
  <w:style w:type="character" w:customStyle="1" w:styleId="42">
    <w:name w:val="明显引用 Char"/>
    <w:link w:val="41"/>
    <w:qFormat/>
    <w:locked/>
    <w:uiPriority w:val="99"/>
    <w:rPr>
      <w:rFonts w:cs="Times New Roman"/>
      <w:b/>
      <w:i/>
      <w:sz w:val="24"/>
    </w:rPr>
  </w:style>
  <w:style w:type="character" w:customStyle="1" w:styleId="43">
    <w:name w:val="Subtle Emphasis1"/>
    <w:qFormat/>
    <w:uiPriority w:val="99"/>
    <w:rPr>
      <w:i/>
      <w:color w:val="595959"/>
    </w:rPr>
  </w:style>
  <w:style w:type="character" w:customStyle="1" w:styleId="44">
    <w:name w:val="Intense Emphasis1"/>
    <w:qFormat/>
    <w:uiPriority w:val="99"/>
    <w:rPr>
      <w:rFonts w:cs="Times New Roman"/>
      <w:b/>
      <w:i/>
      <w:sz w:val="24"/>
      <w:szCs w:val="24"/>
      <w:u w:val="single"/>
    </w:rPr>
  </w:style>
  <w:style w:type="character" w:customStyle="1" w:styleId="45">
    <w:name w:val="Subtle Reference1"/>
    <w:qFormat/>
    <w:uiPriority w:val="99"/>
    <w:rPr>
      <w:rFonts w:cs="Times New Roman"/>
      <w:sz w:val="24"/>
      <w:szCs w:val="24"/>
      <w:u w:val="single"/>
    </w:rPr>
  </w:style>
  <w:style w:type="character" w:customStyle="1" w:styleId="46">
    <w:name w:val="Intense Reference1"/>
    <w:qFormat/>
    <w:uiPriority w:val="99"/>
    <w:rPr>
      <w:rFonts w:cs="Times New Roman"/>
      <w:b/>
      <w:sz w:val="24"/>
      <w:u w:val="single"/>
    </w:rPr>
  </w:style>
  <w:style w:type="character" w:customStyle="1" w:styleId="47">
    <w:name w:val="Book Title1"/>
    <w:qFormat/>
    <w:uiPriority w:val="99"/>
    <w:rPr>
      <w:rFonts w:ascii="Cambria" w:hAnsi="Cambria" w:eastAsia="宋体" w:cs="Times New Roman"/>
      <w:b/>
      <w:i/>
      <w:sz w:val="24"/>
      <w:szCs w:val="24"/>
    </w:rPr>
  </w:style>
  <w:style w:type="paragraph" w:customStyle="1" w:styleId="48">
    <w:name w:val="TOC Heading1"/>
    <w:basedOn w:val="3"/>
    <w:next w:val="1"/>
    <w:semiHidden/>
    <w:qFormat/>
    <w:uiPriority w:val="99"/>
    <w:pPr>
      <w:outlineLvl w:val="9"/>
    </w:pPr>
    <w:rPr>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3BB62-68DF-42C6-BB7E-1893C4932655}">
  <ds:schemaRefs/>
</ds:datastoreItem>
</file>

<file path=docProps/app.xml><?xml version="1.0" encoding="utf-8"?>
<Properties xmlns="http://schemas.openxmlformats.org/officeDocument/2006/extended-properties" xmlns:vt="http://schemas.openxmlformats.org/officeDocument/2006/docPropsVTypes">
  <Template>Normal</Template>
  <Pages>7</Pages>
  <Words>494</Words>
  <Characters>2821</Characters>
  <Lines>23</Lines>
  <Paragraphs>6</Paragraphs>
  <TotalTime>48</TotalTime>
  <ScaleCrop>false</ScaleCrop>
  <LinksUpToDate>false</LinksUpToDate>
  <CharactersWithSpaces>3309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2019-02-19T09:24:00Z</cp:lastPrinted>
  <dcterms:modified xsi:type="dcterms:W3CDTF">2024-08-06T11:39:10Z</dcterms:modified>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33CAB9E7592347E6A50EE583EF29B393</vt:lpwstr>
  </property>
</Properties>
</file>