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行政处罚决定书</w:t>
      </w:r>
    </w:p>
    <w:p>
      <w:pPr>
        <w:spacing w:line="560" w:lineRule="exact"/>
        <w:jc w:val="righ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8"/>
          <w:szCs w:val="28"/>
        </w:rPr>
        <w:t>吐市高区自然资罚字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〔2022〕3</w:t>
      </w:r>
      <w:r>
        <w:rPr>
          <w:rFonts w:hint="eastAsia" w:ascii="仿宋_GB2312" w:hAnsi="黑体" w:eastAsia="仿宋_GB2312"/>
          <w:sz w:val="28"/>
          <w:szCs w:val="28"/>
        </w:rPr>
        <w:t>号</w:t>
      </w:r>
      <w:r>
        <w:rPr>
          <w:rFonts w:hint="eastAsia" w:ascii="仿宋_GB2312" w:hAnsi="黑体" w:eastAsia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吐鲁番市福顺新型建材制造有限责任公司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日对你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非法占地行为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一案立案调查。经查，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23日，你单位未经自然资源行政主管部门批准，擅自在吐鲁番市高昌区恰特喀勒乡奥依曼坎儿孜村违法占用10702.72平方米国有采矿用地修建砖厂及附属设施、彩钢板房的行为，违反了《中华人民共和国土地管理法》第二条的规定，属于非法占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现场勘测笔录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及勘测定界图；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4.当事人企业营业执照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、法人身份证复印件、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委托书、委托人身份证复印件等；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5.修建砖厂及附属设施、彩钢板房占用土地的相关用地手续或批示。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我局已于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日依法向你单位进行了行政处罚告知和听证告知。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提出书面陈述或申辩意见，也未要求举行听证。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根据《中华人民共和国土地管理法》（2004年8月28日修正版）第七十六条和《中华人民共和国土地管理法实施条例》（2014年7月第二次修订版）第四十二条的规定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对非法占用的10702.72平方米土地处以每平方米10元的罚款，即10702.72平方米×10元/平方米=107027.2元（拾万零柒仟零贰拾柒元贰角）。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行政处罚履行方式和期限：根据《中华人民共和国行政处罚法》第六十七条第三款的规定，当事人应当自收到本行政处罚决定书之日起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日内，将罚没款缴至新疆维吾尔自治区财政厅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非税收入专用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账户，执收户：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国土资源执法监察大队。逾期不缴纳的，根据《中华人民共和国行政处罚》第七十二条第一项的规定，每日按照罚款的百分之三加处罚款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95" w:firstLineChars="186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自然资源局或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人民政府申请行政复议，或者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个月内直接向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吐鲁番市高昌区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人民法院提起行政诉讼。逾期不申请行政复议，不提起行政诉讼，又不履行本行政处罚决定的，我局将依法申请人民法院强制执行。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李心、艾尼娃·阿不杜热合曼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0995--8526006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吐鲁番市高昌区西环北路2731号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吐鲁番市自然资源局高昌区分局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2B51"/>
    <w:rsid w:val="22AA7CF7"/>
    <w:rsid w:val="3CC02B51"/>
    <w:rsid w:val="3F9318AF"/>
    <w:rsid w:val="5D152F67"/>
    <w:rsid w:val="7FB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2024-08-12T04:55:00Z</dcterms:created>
  <dc:creator>Administrator</dc:creator>
  <cp:lastModifiedBy>Administrator</cp:lastModifiedBy>
  <dcterms:modified xsi:type="dcterms:W3CDTF">2024-08-19T04:28:56Z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