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吐市高区自然资罚字〔202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〕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70</w:t>
      </w:r>
      <w:r>
        <w:rPr>
          <w:rFonts w:hint="eastAsia" w:ascii="仿宋_GB2312" w:hAnsi="黑体" w:eastAsia="仿宋_GB2312"/>
          <w:sz w:val="28"/>
          <w:szCs w:val="28"/>
        </w:rPr>
        <w:t>号</w:t>
      </w:r>
      <w:r>
        <w:rPr>
          <w:rFonts w:hint="eastAsia" w:ascii="仿宋_GB2312" w:hAnsi="黑体" w:eastAsia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吐鲁番市昊天玫瑰酒庄有限公司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，吐鲁番市昊天玫瑰酒庄有限公司未经自然资源主管部门批准，擅自在吐鲁番市高昌区示范区港城大道南侧、规划十五路西侧违法占用2227.20平方米国有未利用土地修建的遮阳棚和硬化地坪的行为，违反了《中华人民共和国土地管理法》第二条的规定，属于违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、法人身份证复印件、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委托书、委托人身份证复印件等；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你单位未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根据《中华人民共和国土地管理法》第七十七条和《中华人民共和国土地管理法实施条例》第四十二条的规定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1.责令当事人退还非法占用的2227.20平方米国有未利用土地；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2.对非法占用的2227.20平方米土地处以每平方米5元的罚款，即2227.20平方米×5元/平方米=1.1136万元（壹万壹仟壹佰叁拾陆元）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国土资源执法监察大队。逾期不缴纳的，根据《中华人民共和国行政处罚》第七十二条第一项的规定，每日按照罚款的百分之三加处罚款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李心、艾尼娃·阿不杜热合曼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0995--8526006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12月17日</w: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078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1D9B47D1"/>
    <w:rsid w:val="14197197"/>
    <w:rsid w:val="15C820B3"/>
    <w:rsid w:val="1D9B47D1"/>
    <w:rsid w:val="28BA325C"/>
    <w:rsid w:val="35116E42"/>
    <w:rsid w:val="57E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904</Characters>
  <Lines>0</Lines>
  <Paragraphs>0</Paragraphs>
  <TotalTime>0</TotalTime>
  <ScaleCrop>false</ScaleCrop>
  <LinksUpToDate>false</LinksUpToDate>
  <CharactersWithSpaces>969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2024-08-12T03:13:00Z</dcterms:created>
  <dc:creator>Administrator</dc:creator>
  <cp:lastModifiedBy>Administrator</cp:lastModifiedBy>
  <dcterms:modified xsi:type="dcterms:W3CDTF">2024-08-19T02:15:17Z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9D27502AB52F411A9A4F79CB592299F4_12</vt:lpwstr>
  </property>
</Properties>
</file>