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A92B3">
      <w:pPr>
        <w:adjustRightInd w:val="0"/>
        <w:snapToGrid w:val="0"/>
        <w:spacing w:line="440" w:lineRule="exact"/>
        <w:jc w:val="left"/>
        <w:rPr>
          <w:rFonts w:hint="eastAsia" w:eastAsia="方正小标宋简体"/>
          <w:sz w:val="24"/>
          <w:szCs w:val="24"/>
          <w:lang w:val="en-US" w:eastAsia="zh-CN"/>
        </w:rPr>
      </w:pPr>
      <w:r>
        <w:rPr>
          <w:rFonts w:hint="eastAsia" w:eastAsia="方正小标宋简体"/>
          <w:sz w:val="24"/>
          <w:szCs w:val="24"/>
          <w:lang w:val="en-US" w:eastAsia="zh-CN"/>
        </w:rPr>
        <w:t>附件15：</w:t>
      </w:r>
    </w:p>
    <w:p w14:paraId="30327599">
      <w:pPr>
        <w:adjustRightInd w:val="0"/>
        <w:snapToGrid w:val="0"/>
        <w:spacing w:line="440" w:lineRule="exact"/>
        <w:jc w:val="center"/>
        <w:rPr>
          <w:rFonts w:eastAsia="方正小标宋简体"/>
          <w:color w:val="000000"/>
          <w:sz w:val="32"/>
          <w:szCs w:val="32"/>
        </w:rPr>
      </w:pPr>
      <w:r>
        <w:rPr>
          <w:rFonts w:hint="eastAsia" w:eastAsia="方正小标宋简体"/>
          <w:sz w:val="32"/>
          <w:szCs w:val="32"/>
          <w:lang w:val="en-US" w:eastAsia="zh-CN"/>
        </w:rPr>
        <w:t>高昌区化肥</w:t>
      </w:r>
      <w:r>
        <w:rPr>
          <w:rFonts w:eastAsia="方正小标宋简体"/>
          <w:sz w:val="32"/>
          <w:szCs w:val="32"/>
        </w:rPr>
        <w:t>产</w:t>
      </w:r>
      <w:r>
        <w:rPr>
          <w:rFonts w:eastAsia="方正小标宋简体"/>
          <w:color w:val="000000"/>
          <w:sz w:val="32"/>
          <w:szCs w:val="32"/>
        </w:rPr>
        <w:t>品质量</w:t>
      </w:r>
      <w:r>
        <w:rPr>
          <w:rFonts w:hint="eastAsia" w:eastAsia="方正小标宋简体"/>
          <w:color w:val="000000"/>
          <w:sz w:val="32"/>
          <w:szCs w:val="32"/>
          <w:lang w:val="en-US" w:eastAsia="zh-CN"/>
        </w:rPr>
        <w:t>监督抽查</w:t>
      </w:r>
      <w:r>
        <w:rPr>
          <w:rFonts w:eastAsia="方正小标宋简体"/>
          <w:color w:val="000000"/>
          <w:sz w:val="32"/>
          <w:szCs w:val="32"/>
        </w:rPr>
        <w:t>实施细则</w:t>
      </w:r>
    </w:p>
    <w:p w14:paraId="5462ACF3">
      <w:pPr>
        <w:adjustRightInd w:val="0"/>
        <w:snapToGrid w:val="0"/>
        <w:spacing w:line="440" w:lineRule="exact"/>
        <w:jc w:val="center"/>
        <w:rPr>
          <w:rFonts w:hint="default" w:eastAsia="方正小标宋简体"/>
          <w:color w:val="000000"/>
          <w:sz w:val="32"/>
          <w:szCs w:val="32"/>
          <w:lang w:val="en-US" w:eastAsia="zh-CN"/>
        </w:rPr>
      </w:pPr>
      <w:r>
        <w:rPr>
          <w:rFonts w:hint="eastAsia" w:eastAsia="方正小标宋简体"/>
          <w:color w:val="000000"/>
          <w:sz w:val="32"/>
          <w:szCs w:val="32"/>
          <w:lang w:eastAsia="zh-CN"/>
        </w:rPr>
        <w:t>（</w:t>
      </w:r>
      <w:r>
        <w:rPr>
          <w:rFonts w:hint="eastAsia" w:eastAsia="方正小标宋简体"/>
          <w:color w:val="000000"/>
          <w:sz w:val="32"/>
          <w:szCs w:val="32"/>
          <w:lang w:val="en-US" w:eastAsia="zh-CN"/>
        </w:rPr>
        <w:t>2026年版）</w:t>
      </w:r>
    </w:p>
    <w:p w14:paraId="2021E7AE">
      <w:pPr>
        <w:adjustRightInd w:val="0"/>
        <w:snapToGrid w:val="0"/>
        <w:spacing w:line="594" w:lineRule="exact"/>
        <w:jc w:val="center"/>
        <w:rPr>
          <w:color w:val="000000"/>
          <w:sz w:val="32"/>
          <w:szCs w:val="32"/>
        </w:rPr>
      </w:pPr>
    </w:p>
    <w:p w14:paraId="1894A62A">
      <w:pPr>
        <w:snapToGrid w:val="0"/>
        <w:spacing w:line="440" w:lineRule="exact"/>
        <w:rPr>
          <w:rFonts w:eastAsia="黑体"/>
          <w:color w:val="000000"/>
          <w:szCs w:val="21"/>
        </w:rPr>
      </w:pPr>
      <w:r>
        <w:rPr>
          <w:rFonts w:eastAsia="黑体"/>
          <w:color w:val="000000"/>
          <w:szCs w:val="21"/>
        </w:rPr>
        <w:t>1 抽样方法</w:t>
      </w:r>
      <w:bookmarkStart w:id="2" w:name="_GoBack"/>
      <w:bookmarkEnd w:id="2"/>
    </w:p>
    <w:p w14:paraId="52C7AB8B">
      <w:pPr>
        <w:snapToGrid w:val="0"/>
        <w:spacing w:line="440" w:lineRule="exact"/>
        <w:ind w:firstLine="420" w:firstLineChars="200"/>
        <w:rPr>
          <w:rFonts w:hint="eastAsia" w:asciiTheme="minorEastAsia" w:hAnsiTheme="minorEastAsia" w:eastAsiaTheme="minorEastAsia" w:cstheme="minorEastAsia"/>
          <w:color w:val="000000"/>
          <w:szCs w:val="21"/>
          <w:highlight w:val="red"/>
          <w:lang w:eastAsia="zh-CN"/>
        </w:rPr>
      </w:pPr>
      <w:r>
        <w:rPr>
          <w:rFonts w:hint="eastAsia" w:asciiTheme="minorEastAsia" w:hAnsiTheme="minorEastAsia" w:eastAsiaTheme="minorEastAsia" w:cstheme="minorEastAsia"/>
          <w:szCs w:val="21"/>
        </w:rPr>
        <w:t>以随机抽样的方式在被抽样生产者</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销售者的</w:t>
      </w:r>
      <w:r>
        <w:rPr>
          <w:rFonts w:hint="eastAsia" w:asciiTheme="minorEastAsia" w:hAnsiTheme="minorEastAsia" w:eastAsiaTheme="minorEastAsia" w:cstheme="minorEastAsia"/>
          <w:szCs w:val="21"/>
        </w:rPr>
        <w:t>待销产品中抽取</w:t>
      </w:r>
      <w:r>
        <w:rPr>
          <w:rFonts w:hint="eastAsia" w:asciiTheme="minorEastAsia" w:hAnsiTheme="minorEastAsia" w:eastAsiaTheme="minorEastAsia" w:cstheme="minorEastAsia"/>
          <w:szCs w:val="21"/>
          <w:lang w:eastAsia="zh-CN"/>
        </w:rPr>
        <w:t>。</w:t>
      </w:r>
    </w:p>
    <w:p w14:paraId="2CA5C723">
      <w:pPr>
        <w:snapToGrid w:val="0"/>
        <w:spacing w:line="44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随机数使用随机数表方法产生。</w:t>
      </w:r>
    </w:p>
    <w:p w14:paraId="1D194093">
      <w:pPr>
        <w:snapToGrid w:val="0"/>
        <w:spacing w:line="440" w:lineRule="exact"/>
        <w:ind w:firstLine="420" w:firstLineChars="200"/>
        <w:rPr>
          <w:rFonts w:hint="eastAsia" w:asciiTheme="minorEastAsia" w:hAnsiTheme="minorEastAsia" w:eastAsiaTheme="minorEastAsia" w:cstheme="minorEastAsia"/>
          <w:color w:val="000000"/>
          <w:szCs w:val="21"/>
        </w:rPr>
      </w:pPr>
      <w:bookmarkStart w:id="0" w:name="_Hlk40800877"/>
      <w:r>
        <w:rPr>
          <w:rFonts w:hint="eastAsia" w:asciiTheme="minorEastAsia" w:hAnsiTheme="minorEastAsia" w:eastAsiaTheme="minorEastAsia" w:cstheme="minorEastAsia"/>
          <w:color w:val="000000"/>
          <w:szCs w:val="21"/>
          <w:lang w:val="en-US" w:eastAsia="zh-CN"/>
        </w:rPr>
        <w:t>抽样数量：</w:t>
      </w:r>
      <w:r>
        <w:rPr>
          <w:rFonts w:hint="eastAsia" w:asciiTheme="minorEastAsia" w:hAnsiTheme="minorEastAsia" w:eastAsiaTheme="minorEastAsia" w:cstheme="minorEastAsia"/>
          <w:color w:val="000000"/>
          <w:szCs w:val="21"/>
        </w:rPr>
        <w:t>将</w:t>
      </w:r>
      <w:r>
        <w:rPr>
          <w:rFonts w:hint="eastAsia" w:asciiTheme="minorEastAsia" w:hAnsiTheme="minorEastAsia" w:eastAsiaTheme="minorEastAsia" w:cstheme="minorEastAsia"/>
          <w:color w:val="000000"/>
          <w:szCs w:val="21"/>
          <w:lang w:val="en-US" w:eastAsia="zh-CN"/>
        </w:rPr>
        <w:t>采集</w:t>
      </w:r>
      <w:r>
        <w:rPr>
          <w:rFonts w:hint="eastAsia" w:asciiTheme="minorEastAsia" w:hAnsiTheme="minorEastAsia" w:eastAsiaTheme="minorEastAsia" w:cstheme="minorEastAsia"/>
          <w:color w:val="000000"/>
          <w:szCs w:val="21"/>
        </w:rPr>
        <w:t>样品</w:t>
      </w:r>
      <w:r>
        <w:rPr>
          <w:rFonts w:hint="eastAsia" w:asciiTheme="minorEastAsia" w:hAnsiTheme="minorEastAsia" w:eastAsiaTheme="minorEastAsia" w:cstheme="minorEastAsia"/>
          <w:color w:val="000000"/>
          <w:szCs w:val="21"/>
          <w:lang w:val="en-US" w:eastAsia="zh-CN"/>
        </w:rPr>
        <w:t>混合均匀后</w:t>
      </w:r>
      <w:r>
        <w:rPr>
          <w:rFonts w:hint="eastAsia" w:asciiTheme="minorEastAsia" w:hAnsiTheme="minorEastAsia" w:eastAsiaTheme="minorEastAsia" w:cstheme="minorEastAsia"/>
          <w:color w:val="000000"/>
          <w:szCs w:val="21"/>
        </w:rPr>
        <w:t>缩分至1kg，再缩分成两份，</w:t>
      </w:r>
      <w:r>
        <w:rPr>
          <w:rFonts w:hint="eastAsia" w:asciiTheme="minorEastAsia" w:hAnsiTheme="minorEastAsia" w:eastAsiaTheme="minorEastAsia" w:cstheme="minorEastAsia"/>
          <w:color w:val="000000"/>
          <w:szCs w:val="21"/>
          <w:lang w:val="en-US" w:eastAsia="zh-CN"/>
        </w:rPr>
        <w:t>每份样品约为0.5kg。</w:t>
      </w:r>
      <w:r>
        <w:rPr>
          <w:rFonts w:hint="eastAsia" w:asciiTheme="minorEastAsia" w:hAnsiTheme="minorEastAsia" w:eastAsiaTheme="minorEastAsia" w:cstheme="minorEastAsia"/>
          <w:color w:val="000000"/>
          <w:szCs w:val="21"/>
        </w:rPr>
        <w:t>分装于2个洁净、干燥的塑料瓶中。1瓶作为检验样品，另1瓶作为备用样品。</w:t>
      </w:r>
      <w:bookmarkEnd w:id="0"/>
    </w:p>
    <w:p w14:paraId="2357302A">
      <w:pPr>
        <w:snapToGrid w:val="0"/>
        <w:spacing w:line="440" w:lineRule="exact"/>
        <w:rPr>
          <w:rFonts w:eastAsia="黑体"/>
          <w:color w:val="000000"/>
          <w:szCs w:val="21"/>
        </w:rPr>
      </w:pPr>
      <w:r>
        <w:rPr>
          <w:rFonts w:eastAsia="黑体"/>
          <w:color w:val="000000"/>
          <w:szCs w:val="21"/>
        </w:rPr>
        <w:t>2 检验依据</w:t>
      </w:r>
    </w:p>
    <w:p w14:paraId="21844E8B">
      <w:pPr>
        <w:snapToGrid w:val="0"/>
        <w:spacing w:line="440" w:lineRule="exact"/>
        <w:jc w:val="center"/>
        <w:rPr>
          <w:rFonts w:hint="eastAsia"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表1复合肥料</w:t>
      </w:r>
    </w:p>
    <w:tbl>
      <w:tblPr>
        <w:tblStyle w:val="4"/>
        <w:tblW w:w="8313"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9"/>
        <w:gridCol w:w="2664"/>
        <w:gridCol w:w="2460"/>
        <w:gridCol w:w="2490"/>
      </w:tblGrid>
      <w:tr w14:paraId="53EA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blHeader/>
        </w:trPr>
        <w:tc>
          <w:tcPr>
            <w:tcW w:w="699" w:type="dxa"/>
            <w:tcBorders>
              <w:tl2br w:val="nil"/>
              <w:tr2bl w:val="nil"/>
            </w:tcBorders>
            <w:shd w:val="clear" w:color="auto" w:fill="auto"/>
            <w:noWrap/>
            <w:vAlign w:val="center"/>
          </w:tcPr>
          <w:p w14:paraId="6153C435">
            <w:pPr>
              <w:widowControl/>
              <w:jc w:val="center"/>
              <w:rPr>
                <w:color w:val="000000"/>
                <w:kern w:val="0"/>
                <w:szCs w:val="21"/>
              </w:rPr>
            </w:pPr>
            <w:r>
              <w:rPr>
                <w:color w:val="000000"/>
                <w:kern w:val="0"/>
                <w:szCs w:val="21"/>
              </w:rPr>
              <w:t>序号</w:t>
            </w:r>
          </w:p>
        </w:tc>
        <w:tc>
          <w:tcPr>
            <w:tcW w:w="2664" w:type="dxa"/>
            <w:tcBorders>
              <w:tl2br w:val="nil"/>
              <w:tr2bl w:val="nil"/>
            </w:tcBorders>
            <w:shd w:val="clear" w:color="auto" w:fill="auto"/>
            <w:noWrap/>
            <w:vAlign w:val="center"/>
          </w:tcPr>
          <w:p w14:paraId="209A6D1E">
            <w:pPr>
              <w:widowControl/>
              <w:jc w:val="center"/>
              <w:rPr>
                <w:color w:val="000000"/>
                <w:kern w:val="0"/>
                <w:szCs w:val="21"/>
              </w:rPr>
            </w:pPr>
            <w:r>
              <w:rPr>
                <w:color w:val="000000"/>
                <w:kern w:val="0"/>
                <w:szCs w:val="21"/>
              </w:rPr>
              <w:t>检验项目</w:t>
            </w:r>
          </w:p>
        </w:tc>
        <w:tc>
          <w:tcPr>
            <w:tcW w:w="2460" w:type="dxa"/>
            <w:tcBorders>
              <w:tl2br w:val="nil"/>
              <w:tr2bl w:val="nil"/>
            </w:tcBorders>
            <w:shd w:val="clear" w:color="auto" w:fill="auto"/>
            <w:vAlign w:val="center"/>
          </w:tcPr>
          <w:p w14:paraId="2C1239E0">
            <w:pPr>
              <w:widowControl/>
              <w:jc w:val="center"/>
              <w:rPr>
                <w:color w:val="000000"/>
                <w:kern w:val="0"/>
                <w:szCs w:val="21"/>
              </w:rPr>
            </w:pPr>
            <w:r>
              <w:rPr>
                <w:color w:val="000000"/>
                <w:kern w:val="0"/>
                <w:szCs w:val="21"/>
              </w:rPr>
              <w:t>检验依据</w:t>
            </w:r>
          </w:p>
        </w:tc>
        <w:tc>
          <w:tcPr>
            <w:tcW w:w="2490" w:type="dxa"/>
            <w:tcBorders>
              <w:tl2br w:val="nil"/>
              <w:tr2bl w:val="nil"/>
            </w:tcBorders>
            <w:shd w:val="clear" w:color="auto" w:fill="auto"/>
            <w:vAlign w:val="center"/>
          </w:tcPr>
          <w:p w14:paraId="433A8560">
            <w:pPr>
              <w:widowControl/>
              <w:jc w:val="center"/>
              <w:rPr>
                <w:color w:val="000000"/>
                <w:kern w:val="0"/>
                <w:szCs w:val="21"/>
              </w:rPr>
            </w:pPr>
            <w:r>
              <w:rPr>
                <w:color w:val="000000"/>
                <w:kern w:val="0"/>
                <w:szCs w:val="21"/>
              </w:rPr>
              <w:t>检验方法</w:t>
            </w:r>
          </w:p>
        </w:tc>
      </w:tr>
      <w:tr w14:paraId="1342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9" w:type="dxa"/>
            <w:tcBorders>
              <w:tl2br w:val="nil"/>
              <w:tr2bl w:val="nil"/>
            </w:tcBorders>
            <w:shd w:val="clear" w:color="auto" w:fill="auto"/>
            <w:noWrap/>
            <w:vAlign w:val="center"/>
          </w:tcPr>
          <w:p w14:paraId="784D45BF">
            <w:pPr>
              <w:pStyle w:val="7"/>
              <w:widowControl/>
              <w:numPr>
                <w:ilvl w:val="0"/>
                <w:numId w:val="1"/>
              </w:numPr>
              <w:ind w:firstLineChars="0"/>
              <w:jc w:val="center"/>
              <w:rPr>
                <w:rFonts w:hint="eastAsia" w:asciiTheme="minorEastAsia" w:hAnsiTheme="minorEastAsia" w:eastAsiaTheme="minorEastAsia" w:cstheme="minorEastAsia"/>
                <w:color w:val="000000"/>
                <w:kern w:val="0"/>
                <w:szCs w:val="21"/>
              </w:rPr>
            </w:pPr>
          </w:p>
        </w:tc>
        <w:tc>
          <w:tcPr>
            <w:tcW w:w="2664" w:type="dxa"/>
            <w:tcBorders>
              <w:tl2br w:val="nil"/>
              <w:tr2bl w:val="nil"/>
            </w:tcBorders>
            <w:shd w:val="clear" w:color="auto" w:fill="auto"/>
            <w:noWrap/>
            <w:vAlign w:val="center"/>
          </w:tcPr>
          <w:p w14:paraId="2684D3DE">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总氮(N)</w:t>
            </w:r>
          </w:p>
        </w:tc>
        <w:tc>
          <w:tcPr>
            <w:tcW w:w="2460" w:type="dxa"/>
            <w:tcBorders>
              <w:tl2br w:val="nil"/>
              <w:tr2bl w:val="nil"/>
            </w:tcBorders>
            <w:shd w:val="clear" w:color="auto" w:fill="auto"/>
            <w:vAlign w:val="center"/>
          </w:tcPr>
          <w:p w14:paraId="708CAD0D">
            <w:pPr>
              <w:snapToGrid w:val="0"/>
              <w:jc w:val="both"/>
              <w:rPr>
                <w:rFonts w:ascii="Times New Roman" w:hAnsi="Times New Roman" w:eastAsia="宋体" w:cs="Times New Roman"/>
                <w:color w:val="000000"/>
                <w:szCs w:val="21"/>
              </w:rPr>
            </w:pPr>
            <w:r>
              <w:rPr>
                <w:rFonts w:ascii="Times New Roman" w:hAnsi="Times New Roman" w:eastAsia="宋体" w:cs="Times New Roman"/>
                <w:color w:val="000000"/>
                <w:szCs w:val="21"/>
              </w:rPr>
              <w:t>GB/T 15063</w:t>
            </w:r>
            <w:r>
              <w:rPr>
                <w:rFonts w:hint="eastAsia" w:ascii="Times New Roman" w:hAnsi="Times New Roman" w:eastAsia="宋体" w:cs="Times New Roman"/>
                <w:color w:val="000000"/>
                <w:szCs w:val="21"/>
                <w:lang w:val="en-US" w:eastAsia="zh-CN"/>
              </w:rPr>
              <w:t>-</w:t>
            </w:r>
            <w:r>
              <w:rPr>
                <w:rFonts w:ascii="Times New Roman" w:hAnsi="Times New Roman" w:eastAsia="宋体" w:cs="Times New Roman"/>
                <w:color w:val="000000"/>
                <w:szCs w:val="21"/>
              </w:rPr>
              <w:t>2020</w:t>
            </w:r>
          </w:p>
        </w:tc>
        <w:tc>
          <w:tcPr>
            <w:tcW w:w="2490" w:type="dxa"/>
            <w:tcBorders>
              <w:tl2br w:val="nil"/>
              <w:tr2bl w:val="nil"/>
            </w:tcBorders>
            <w:shd w:val="clear" w:color="auto" w:fill="auto"/>
            <w:vAlign w:val="center"/>
          </w:tcPr>
          <w:p w14:paraId="4EF533D8">
            <w:pPr>
              <w:snapToGrid w:val="0"/>
              <w:jc w:val="both"/>
              <w:rPr>
                <w:rFonts w:ascii="Times New Roman" w:hAnsi="Times New Roman" w:eastAsia="宋体" w:cs="Times New Roman"/>
                <w:color w:val="000000"/>
                <w:szCs w:val="21"/>
              </w:rPr>
            </w:pPr>
            <w:r>
              <w:rPr>
                <w:rFonts w:ascii="Times New Roman" w:hAnsi="Times New Roman" w:eastAsia="宋体" w:cs="Times New Roman"/>
                <w:color w:val="000000"/>
                <w:szCs w:val="21"/>
              </w:rPr>
              <w:t>GB/T 8572</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2010</w:t>
            </w:r>
          </w:p>
        </w:tc>
      </w:tr>
      <w:tr w14:paraId="6D49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9" w:type="dxa"/>
            <w:tcBorders>
              <w:tl2br w:val="nil"/>
              <w:tr2bl w:val="nil"/>
            </w:tcBorders>
            <w:shd w:val="clear" w:color="auto" w:fill="auto"/>
            <w:noWrap/>
            <w:vAlign w:val="center"/>
          </w:tcPr>
          <w:p w14:paraId="40AFA19D">
            <w:pPr>
              <w:pStyle w:val="7"/>
              <w:widowControl/>
              <w:numPr>
                <w:ilvl w:val="0"/>
                <w:numId w:val="1"/>
              </w:numPr>
              <w:ind w:firstLineChars="0"/>
              <w:jc w:val="center"/>
              <w:rPr>
                <w:rFonts w:hint="eastAsia" w:asciiTheme="minorEastAsia" w:hAnsiTheme="minorEastAsia" w:eastAsiaTheme="minorEastAsia" w:cstheme="minorEastAsia"/>
                <w:color w:val="000000"/>
                <w:kern w:val="0"/>
                <w:szCs w:val="21"/>
              </w:rPr>
            </w:pPr>
          </w:p>
        </w:tc>
        <w:tc>
          <w:tcPr>
            <w:tcW w:w="2664" w:type="dxa"/>
            <w:tcBorders>
              <w:tl2br w:val="nil"/>
              <w:tr2bl w:val="nil"/>
            </w:tcBorders>
            <w:shd w:val="clear" w:color="auto" w:fill="auto"/>
            <w:noWrap/>
            <w:vAlign w:val="center"/>
          </w:tcPr>
          <w:p w14:paraId="33A546AE">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有效磷(P</w:t>
            </w:r>
            <w:r>
              <w:rPr>
                <w:rFonts w:hint="eastAsia" w:asciiTheme="minorEastAsia" w:hAnsiTheme="minorEastAsia" w:eastAsiaTheme="minorEastAsia" w:cstheme="minorEastAsia"/>
                <w:color w:val="000000"/>
                <w:kern w:val="0"/>
                <w:szCs w:val="21"/>
                <w:vertAlign w:val="subscript"/>
              </w:rPr>
              <w:t>2</w:t>
            </w:r>
            <w:r>
              <w:rPr>
                <w:rFonts w:hint="eastAsia" w:asciiTheme="minorEastAsia" w:hAnsiTheme="minorEastAsia" w:eastAsiaTheme="minorEastAsia" w:cstheme="minorEastAsia"/>
                <w:color w:val="000000"/>
                <w:kern w:val="0"/>
                <w:szCs w:val="21"/>
              </w:rPr>
              <w:t>O</w:t>
            </w:r>
            <w:r>
              <w:rPr>
                <w:rFonts w:hint="eastAsia" w:asciiTheme="minorEastAsia" w:hAnsiTheme="minorEastAsia" w:eastAsiaTheme="minorEastAsia" w:cstheme="minorEastAsia"/>
                <w:color w:val="000000"/>
                <w:kern w:val="0"/>
                <w:szCs w:val="21"/>
                <w:vertAlign w:val="subscript"/>
              </w:rPr>
              <w:t>5</w:t>
            </w:r>
            <w:r>
              <w:rPr>
                <w:rFonts w:hint="eastAsia" w:asciiTheme="minorEastAsia" w:hAnsiTheme="minorEastAsia" w:eastAsiaTheme="minorEastAsia" w:cstheme="minorEastAsia"/>
                <w:color w:val="000000"/>
                <w:kern w:val="0"/>
                <w:szCs w:val="21"/>
              </w:rPr>
              <w:t>)</w:t>
            </w:r>
          </w:p>
        </w:tc>
        <w:tc>
          <w:tcPr>
            <w:tcW w:w="2460" w:type="dxa"/>
            <w:tcBorders>
              <w:tl2br w:val="nil"/>
              <w:tr2bl w:val="nil"/>
            </w:tcBorders>
            <w:shd w:val="clear" w:color="auto" w:fill="auto"/>
            <w:vAlign w:val="center"/>
          </w:tcPr>
          <w:p w14:paraId="5DEFC8A6">
            <w:pPr>
              <w:snapToGrid w:val="0"/>
              <w:jc w:val="both"/>
              <w:rPr>
                <w:rFonts w:ascii="Times New Roman" w:hAnsi="Times New Roman" w:eastAsia="宋体" w:cs="Times New Roman"/>
                <w:color w:val="000000"/>
                <w:szCs w:val="21"/>
              </w:rPr>
            </w:pPr>
            <w:r>
              <w:rPr>
                <w:rFonts w:ascii="Times New Roman" w:hAnsi="Times New Roman" w:eastAsia="宋体" w:cs="Times New Roman"/>
                <w:color w:val="000000"/>
                <w:szCs w:val="21"/>
              </w:rPr>
              <w:t>GB/T 15063</w:t>
            </w:r>
            <w:r>
              <w:rPr>
                <w:rFonts w:hint="eastAsia" w:ascii="Times New Roman" w:hAnsi="Times New Roman" w:eastAsia="宋体" w:cs="Times New Roman"/>
                <w:color w:val="000000"/>
                <w:szCs w:val="21"/>
                <w:lang w:val="en-US" w:eastAsia="zh-CN"/>
              </w:rPr>
              <w:t>-</w:t>
            </w:r>
            <w:r>
              <w:rPr>
                <w:rFonts w:ascii="Times New Roman" w:hAnsi="Times New Roman" w:eastAsia="宋体" w:cs="Times New Roman"/>
                <w:color w:val="000000"/>
                <w:szCs w:val="21"/>
              </w:rPr>
              <w:t>2020</w:t>
            </w:r>
          </w:p>
        </w:tc>
        <w:tc>
          <w:tcPr>
            <w:tcW w:w="2490" w:type="dxa"/>
            <w:tcBorders>
              <w:tl2br w:val="nil"/>
              <w:tr2bl w:val="nil"/>
            </w:tcBorders>
            <w:shd w:val="clear" w:color="auto" w:fill="auto"/>
            <w:vAlign w:val="center"/>
          </w:tcPr>
          <w:p w14:paraId="0BE30808">
            <w:pPr>
              <w:snapToGrid w:val="0"/>
              <w:jc w:val="both"/>
              <w:rPr>
                <w:rFonts w:ascii="Times New Roman" w:hAnsi="Times New Roman" w:eastAsia="宋体" w:cs="Times New Roman"/>
                <w:color w:val="000000"/>
                <w:szCs w:val="21"/>
              </w:rPr>
            </w:pPr>
            <w:r>
              <w:rPr>
                <w:rFonts w:ascii="Times New Roman" w:hAnsi="Times New Roman" w:eastAsia="宋体" w:cs="Times New Roman"/>
                <w:color w:val="000000"/>
                <w:szCs w:val="21"/>
              </w:rPr>
              <w:t>GB/T 15063</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2020</w:t>
            </w:r>
          </w:p>
        </w:tc>
      </w:tr>
      <w:tr w14:paraId="1BED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9" w:type="dxa"/>
            <w:tcBorders>
              <w:tl2br w:val="nil"/>
              <w:tr2bl w:val="nil"/>
            </w:tcBorders>
            <w:shd w:val="clear" w:color="auto" w:fill="auto"/>
            <w:noWrap/>
            <w:vAlign w:val="center"/>
          </w:tcPr>
          <w:p w14:paraId="3E2AE57E">
            <w:pPr>
              <w:pStyle w:val="7"/>
              <w:widowControl/>
              <w:numPr>
                <w:ilvl w:val="0"/>
                <w:numId w:val="1"/>
              </w:numPr>
              <w:ind w:firstLineChars="0"/>
              <w:jc w:val="center"/>
              <w:rPr>
                <w:rFonts w:hint="eastAsia" w:asciiTheme="minorEastAsia" w:hAnsiTheme="minorEastAsia" w:eastAsiaTheme="minorEastAsia" w:cstheme="minorEastAsia"/>
                <w:color w:val="000000"/>
                <w:kern w:val="0"/>
                <w:szCs w:val="21"/>
              </w:rPr>
            </w:pPr>
          </w:p>
        </w:tc>
        <w:tc>
          <w:tcPr>
            <w:tcW w:w="2664" w:type="dxa"/>
            <w:tcBorders>
              <w:tl2br w:val="nil"/>
              <w:tr2bl w:val="nil"/>
            </w:tcBorders>
            <w:shd w:val="clear" w:color="auto" w:fill="auto"/>
            <w:noWrap/>
            <w:vAlign w:val="center"/>
          </w:tcPr>
          <w:p w14:paraId="770C360F">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氧化钾(K</w:t>
            </w:r>
            <w:r>
              <w:rPr>
                <w:rFonts w:hint="eastAsia" w:asciiTheme="minorEastAsia" w:hAnsiTheme="minorEastAsia" w:eastAsiaTheme="minorEastAsia" w:cstheme="minorEastAsia"/>
                <w:color w:val="000000"/>
                <w:kern w:val="0"/>
                <w:szCs w:val="21"/>
                <w:vertAlign w:val="subscript"/>
              </w:rPr>
              <w:t>2</w:t>
            </w:r>
            <w:r>
              <w:rPr>
                <w:rFonts w:hint="eastAsia" w:asciiTheme="minorEastAsia" w:hAnsiTheme="minorEastAsia" w:eastAsiaTheme="minorEastAsia" w:cstheme="minorEastAsia"/>
                <w:color w:val="000000"/>
                <w:kern w:val="0"/>
                <w:szCs w:val="21"/>
              </w:rPr>
              <w:t>O)</w:t>
            </w:r>
          </w:p>
        </w:tc>
        <w:tc>
          <w:tcPr>
            <w:tcW w:w="2460" w:type="dxa"/>
            <w:tcBorders>
              <w:tl2br w:val="nil"/>
              <w:tr2bl w:val="nil"/>
            </w:tcBorders>
            <w:shd w:val="clear" w:color="auto" w:fill="auto"/>
            <w:vAlign w:val="center"/>
          </w:tcPr>
          <w:p w14:paraId="2C06D906">
            <w:pPr>
              <w:snapToGrid w:val="0"/>
              <w:jc w:val="both"/>
              <w:rPr>
                <w:rFonts w:ascii="Times New Roman" w:hAnsi="Times New Roman" w:eastAsia="宋体" w:cs="Times New Roman"/>
                <w:color w:val="000000"/>
                <w:szCs w:val="21"/>
              </w:rPr>
            </w:pPr>
            <w:r>
              <w:rPr>
                <w:rFonts w:ascii="Times New Roman" w:hAnsi="Times New Roman" w:eastAsia="宋体" w:cs="Times New Roman"/>
                <w:color w:val="000000"/>
                <w:szCs w:val="21"/>
              </w:rPr>
              <w:t>GB/T 15063</w:t>
            </w:r>
            <w:r>
              <w:rPr>
                <w:rFonts w:hint="eastAsia" w:ascii="Times New Roman" w:hAnsi="Times New Roman" w:eastAsia="宋体" w:cs="Times New Roman"/>
                <w:color w:val="000000"/>
                <w:szCs w:val="21"/>
                <w:lang w:val="en-US" w:eastAsia="zh-CN"/>
              </w:rPr>
              <w:t>-</w:t>
            </w:r>
            <w:r>
              <w:rPr>
                <w:rFonts w:ascii="Times New Roman" w:hAnsi="Times New Roman" w:eastAsia="宋体" w:cs="Times New Roman"/>
                <w:color w:val="000000"/>
                <w:szCs w:val="21"/>
              </w:rPr>
              <w:t>2020</w:t>
            </w:r>
          </w:p>
        </w:tc>
        <w:tc>
          <w:tcPr>
            <w:tcW w:w="2490" w:type="dxa"/>
            <w:tcBorders>
              <w:tl2br w:val="nil"/>
              <w:tr2bl w:val="nil"/>
            </w:tcBorders>
            <w:shd w:val="clear" w:color="auto" w:fill="auto"/>
            <w:vAlign w:val="center"/>
          </w:tcPr>
          <w:p w14:paraId="22168365">
            <w:pPr>
              <w:snapToGrid w:val="0"/>
              <w:jc w:val="both"/>
              <w:rPr>
                <w:rFonts w:hint="default" w:ascii="Times New Roman" w:hAnsi="Times New Roman" w:eastAsia="宋体" w:cs="Times New Roman"/>
                <w:color w:val="000000"/>
                <w:szCs w:val="21"/>
                <w:lang w:val="en-US" w:eastAsia="zh-CN"/>
              </w:rPr>
            </w:pPr>
            <w:r>
              <w:rPr>
                <w:rFonts w:ascii="Times New Roman" w:hAnsi="Times New Roman" w:eastAsia="宋体" w:cs="Times New Roman"/>
                <w:color w:val="000000"/>
                <w:szCs w:val="21"/>
              </w:rPr>
              <w:t>GB/T 8574</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20</w:t>
            </w:r>
            <w:r>
              <w:rPr>
                <w:rFonts w:hint="eastAsia" w:ascii="Times New Roman" w:hAnsi="Times New Roman" w:eastAsia="宋体" w:cs="Times New Roman"/>
                <w:color w:val="000000"/>
                <w:szCs w:val="21"/>
                <w:lang w:val="en-US" w:eastAsia="zh-CN"/>
              </w:rPr>
              <w:t>24</w:t>
            </w:r>
          </w:p>
        </w:tc>
      </w:tr>
      <w:tr w14:paraId="2631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9" w:type="dxa"/>
            <w:tcBorders>
              <w:tl2br w:val="nil"/>
              <w:tr2bl w:val="nil"/>
            </w:tcBorders>
            <w:shd w:val="clear" w:color="auto" w:fill="auto"/>
            <w:noWrap/>
            <w:vAlign w:val="center"/>
          </w:tcPr>
          <w:p w14:paraId="2A04E819">
            <w:pPr>
              <w:pStyle w:val="7"/>
              <w:widowControl/>
              <w:numPr>
                <w:ilvl w:val="0"/>
                <w:numId w:val="1"/>
              </w:numPr>
              <w:ind w:firstLineChars="0"/>
              <w:jc w:val="center"/>
              <w:rPr>
                <w:rFonts w:hint="eastAsia" w:asciiTheme="minorEastAsia" w:hAnsiTheme="minorEastAsia" w:eastAsiaTheme="minorEastAsia" w:cstheme="minorEastAsia"/>
                <w:color w:val="000000"/>
                <w:kern w:val="0"/>
                <w:szCs w:val="21"/>
              </w:rPr>
            </w:pPr>
          </w:p>
        </w:tc>
        <w:tc>
          <w:tcPr>
            <w:tcW w:w="2664" w:type="dxa"/>
            <w:tcBorders>
              <w:tl2br w:val="nil"/>
              <w:tr2bl w:val="nil"/>
            </w:tcBorders>
            <w:shd w:val="clear" w:color="auto" w:fill="auto"/>
            <w:noWrap/>
            <w:vAlign w:val="center"/>
          </w:tcPr>
          <w:p w14:paraId="308E0E0F">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总养分(N+P</w:t>
            </w:r>
            <w:r>
              <w:rPr>
                <w:rFonts w:hint="eastAsia" w:asciiTheme="minorEastAsia" w:hAnsiTheme="minorEastAsia" w:eastAsiaTheme="minorEastAsia" w:cstheme="minorEastAsia"/>
                <w:color w:val="000000"/>
                <w:kern w:val="0"/>
                <w:szCs w:val="21"/>
                <w:vertAlign w:val="subscript"/>
              </w:rPr>
              <w:t>2</w:t>
            </w:r>
            <w:r>
              <w:rPr>
                <w:rFonts w:hint="eastAsia" w:asciiTheme="minorEastAsia" w:hAnsiTheme="minorEastAsia" w:eastAsiaTheme="minorEastAsia" w:cstheme="minorEastAsia"/>
                <w:color w:val="000000"/>
                <w:kern w:val="0"/>
                <w:szCs w:val="21"/>
              </w:rPr>
              <w:t>O</w:t>
            </w:r>
            <w:r>
              <w:rPr>
                <w:rFonts w:hint="eastAsia" w:asciiTheme="minorEastAsia" w:hAnsiTheme="minorEastAsia" w:eastAsiaTheme="minorEastAsia" w:cstheme="minorEastAsia"/>
                <w:color w:val="000000"/>
                <w:kern w:val="0"/>
                <w:szCs w:val="21"/>
                <w:vertAlign w:val="subscript"/>
              </w:rPr>
              <w:t>5</w:t>
            </w:r>
            <w:r>
              <w:rPr>
                <w:rFonts w:hint="eastAsia" w:asciiTheme="minorEastAsia" w:hAnsiTheme="minorEastAsia" w:eastAsiaTheme="minorEastAsia" w:cstheme="minorEastAsia"/>
                <w:color w:val="000000"/>
                <w:kern w:val="0"/>
                <w:szCs w:val="21"/>
              </w:rPr>
              <w:t>+K</w:t>
            </w:r>
            <w:r>
              <w:rPr>
                <w:rFonts w:hint="eastAsia" w:asciiTheme="minorEastAsia" w:hAnsiTheme="minorEastAsia" w:eastAsiaTheme="minorEastAsia" w:cstheme="minorEastAsia"/>
                <w:color w:val="000000"/>
                <w:kern w:val="0"/>
                <w:szCs w:val="21"/>
                <w:vertAlign w:val="subscript"/>
              </w:rPr>
              <w:t>2</w:t>
            </w:r>
            <w:r>
              <w:rPr>
                <w:rFonts w:hint="eastAsia" w:asciiTheme="minorEastAsia" w:hAnsiTheme="minorEastAsia" w:eastAsiaTheme="minorEastAsia" w:cstheme="minorEastAsia"/>
                <w:color w:val="000000"/>
                <w:kern w:val="0"/>
                <w:szCs w:val="21"/>
              </w:rPr>
              <w:t>O)</w:t>
            </w:r>
          </w:p>
        </w:tc>
        <w:tc>
          <w:tcPr>
            <w:tcW w:w="2460" w:type="dxa"/>
            <w:tcBorders>
              <w:tl2br w:val="nil"/>
              <w:tr2bl w:val="nil"/>
            </w:tcBorders>
            <w:shd w:val="clear" w:color="auto" w:fill="auto"/>
            <w:vAlign w:val="center"/>
          </w:tcPr>
          <w:p w14:paraId="01E9847B">
            <w:pPr>
              <w:snapToGrid w:val="0"/>
              <w:jc w:val="both"/>
              <w:rPr>
                <w:rFonts w:ascii="Times New Roman" w:hAnsi="Times New Roman" w:eastAsia="宋体" w:cs="Times New Roman"/>
                <w:color w:val="000000"/>
                <w:szCs w:val="21"/>
              </w:rPr>
            </w:pPr>
            <w:r>
              <w:rPr>
                <w:rFonts w:ascii="Times New Roman" w:hAnsi="Times New Roman" w:eastAsia="宋体" w:cs="Times New Roman"/>
                <w:color w:val="000000"/>
                <w:szCs w:val="21"/>
              </w:rPr>
              <w:t>GB/T 15063</w:t>
            </w:r>
            <w:r>
              <w:rPr>
                <w:rFonts w:hint="eastAsia" w:ascii="Times New Roman" w:hAnsi="Times New Roman" w:eastAsia="宋体" w:cs="Times New Roman"/>
                <w:color w:val="000000"/>
                <w:szCs w:val="21"/>
                <w:lang w:val="en-US" w:eastAsia="zh-CN"/>
              </w:rPr>
              <w:t>-</w:t>
            </w:r>
            <w:r>
              <w:rPr>
                <w:rFonts w:ascii="Times New Roman" w:hAnsi="Times New Roman" w:eastAsia="宋体" w:cs="Times New Roman"/>
                <w:color w:val="000000"/>
                <w:szCs w:val="21"/>
              </w:rPr>
              <w:t>2020</w:t>
            </w:r>
          </w:p>
        </w:tc>
        <w:tc>
          <w:tcPr>
            <w:tcW w:w="2490" w:type="dxa"/>
            <w:tcBorders>
              <w:tl2br w:val="nil"/>
              <w:tr2bl w:val="nil"/>
            </w:tcBorders>
            <w:shd w:val="clear" w:color="auto" w:fill="auto"/>
            <w:vAlign w:val="center"/>
          </w:tcPr>
          <w:p w14:paraId="61FE436C">
            <w:pPr>
              <w:snapToGrid w:val="0"/>
              <w:jc w:val="both"/>
              <w:rPr>
                <w:rFonts w:ascii="Times New Roman" w:hAnsi="Times New Roman" w:eastAsia="宋体" w:cs="Times New Roman"/>
                <w:color w:val="000000"/>
                <w:szCs w:val="21"/>
              </w:rPr>
            </w:pPr>
            <w:r>
              <w:rPr>
                <w:rFonts w:ascii="Times New Roman" w:hAnsi="Times New Roman" w:eastAsia="宋体" w:cs="Times New Roman"/>
                <w:color w:val="000000"/>
                <w:szCs w:val="21"/>
              </w:rPr>
              <w:t>GB/T 15063</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2020</w:t>
            </w:r>
          </w:p>
        </w:tc>
      </w:tr>
      <w:tr w14:paraId="71BA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9" w:type="dxa"/>
            <w:tcBorders>
              <w:tl2br w:val="nil"/>
              <w:tr2bl w:val="nil"/>
            </w:tcBorders>
            <w:shd w:val="clear" w:color="auto" w:fill="auto"/>
            <w:noWrap/>
            <w:vAlign w:val="center"/>
          </w:tcPr>
          <w:p w14:paraId="49EA9436">
            <w:pPr>
              <w:pStyle w:val="7"/>
              <w:widowControl/>
              <w:numPr>
                <w:ilvl w:val="0"/>
                <w:numId w:val="1"/>
              </w:numPr>
              <w:ind w:firstLineChars="0"/>
              <w:jc w:val="center"/>
              <w:rPr>
                <w:rFonts w:hint="eastAsia" w:asciiTheme="minorEastAsia" w:hAnsiTheme="minorEastAsia" w:eastAsiaTheme="minorEastAsia" w:cstheme="minorEastAsia"/>
                <w:color w:val="000000"/>
                <w:kern w:val="0"/>
                <w:szCs w:val="21"/>
              </w:rPr>
            </w:pPr>
          </w:p>
        </w:tc>
        <w:tc>
          <w:tcPr>
            <w:tcW w:w="2664" w:type="dxa"/>
            <w:tcBorders>
              <w:tl2br w:val="nil"/>
              <w:tr2bl w:val="nil"/>
            </w:tcBorders>
            <w:shd w:val="clear" w:color="auto" w:fill="auto"/>
            <w:noWrap/>
            <w:vAlign w:val="center"/>
          </w:tcPr>
          <w:p w14:paraId="4574B54E">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氯离子*</w:t>
            </w:r>
          </w:p>
        </w:tc>
        <w:tc>
          <w:tcPr>
            <w:tcW w:w="2460" w:type="dxa"/>
            <w:tcBorders>
              <w:tl2br w:val="nil"/>
              <w:tr2bl w:val="nil"/>
            </w:tcBorders>
            <w:shd w:val="clear" w:color="auto" w:fill="auto"/>
            <w:vAlign w:val="center"/>
          </w:tcPr>
          <w:p w14:paraId="4FC34F0C">
            <w:pPr>
              <w:snapToGrid w:val="0"/>
              <w:jc w:val="both"/>
              <w:rPr>
                <w:rFonts w:ascii="Times New Roman" w:hAnsi="Times New Roman" w:eastAsia="宋体" w:cs="Times New Roman"/>
                <w:color w:val="000000"/>
                <w:szCs w:val="21"/>
              </w:rPr>
            </w:pPr>
            <w:r>
              <w:rPr>
                <w:rFonts w:ascii="Times New Roman" w:hAnsi="Times New Roman" w:eastAsia="宋体" w:cs="Times New Roman"/>
                <w:color w:val="000000"/>
                <w:szCs w:val="21"/>
              </w:rPr>
              <w:t>GB/T 15063</w:t>
            </w:r>
            <w:r>
              <w:rPr>
                <w:rFonts w:hint="eastAsia" w:ascii="Times New Roman" w:hAnsi="Times New Roman" w:eastAsia="宋体" w:cs="Times New Roman"/>
                <w:color w:val="000000"/>
                <w:szCs w:val="21"/>
                <w:lang w:val="en-US" w:eastAsia="zh-CN"/>
              </w:rPr>
              <w:t>-</w:t>
            </w:r>
            <w:r>
              <w:rPr>
                <w:rFonts w:ascii="Times New Roman" w:hAnsi="Times New Roman" w:eastAsia="宋体" w:cs="Times New Roman"/>
                <w:color w:val="000000"/>
                <w:szCs w:val="21"/>
              </w:rPr>
              <w:t>2020</w:t>
            </w:r>
          </w:p>
        </w:tc>
        <w:tc>
          <w:tcPr>
            <w:tcW w:w="2490" w:type="dxa"/>
            <w:tcBorders>
              <w:tl2br w:val="nil"/>
              <w:tr2bl w:val="nil"/>
            </w:tcBorders>
            <w:shd w:val="clear" w:color="auto" w:fill="auto"/>
            <w:vAlign w:val="center"/>
          </w:tcPr>
          <w:p w14:paraId="3950D0EE">
            <w:pPr>
              <w:snapToGrid w:val="0"/>
              <w:jc w:val="both"/>
              <w:rPr>
                <w:rFonts w:ascii="Times New Roman" w:hAnsi="Times New Roman" w:eastAsia="宋体" w:cs="Times New Roman"/>
                <w:color w:val="000000"/>
                <w:szCs w:val="21"/>
              </w:rPr>
            </w:pPr>
            <w:r>
              <w:rPr>
                <w:rFonts w:ascii="Times New Roman" w:hAnsi="Times New Roman" w:eastAsia="宋体" w:cs="Times New Roman"/>
                <w:color w:val="000000"/>
                <w:szCs w:val="21"/>
              </w:rPr>
              <w:t>GB/T 24890</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2010</w:t>
            </w:r>
          </w:p>
        </w:tc>
      </w:tr>
      <w:tr w14:paraId="3DB8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313" w:type="dxa"/>
            <w:gridSpan w:val="4"/>
            <w:tcBorders>
              <w:tl2br w:val="nil"/>
              <w:tr2bl w:val="nil"/>
            </w:tcBorders>
            <w:shd w:val="clear" w:color="auto" w:fill="auto"/>
            <w:noWrap/>
            <w:vAlign w:val="center"/>
          </w:tcPr>
          <w:p w14:paraId="0AAC83C3">
            <w:pPr>
              <w:jc w:val="both"/>
              <w:rPr>
                <w:rFonts w:hint="default" w:eastAsia="宋体"/>
                <w:color w:val="000000"/>
                <w:kern w:val="0"/>
                <w:szCs w:val="21"/>
                <w:lang w:val="en-US" w:eastAsia="zh-CN"/>
              </w:rPr>
            </w:pPr>
            <w:r>
              <w:rPr>
                <w:rFonts w:hint="eastAsia" w:asciiTheme="minorEastAsia" w:hAnsiTheme="minorEastAsia" w:eastAsiaTheme="minorEastAsia" w:cstheme="minorEastAsia"/>
                <w:color w:val="000000"/>
                <w:kern w:val="0"/>
                <w:szCs w:val="21"/>
                <w:lang w:val="en-US" w:eastAsia="zh-CN"/>
              </w:rPr>
              <w:t>注：</w:t>
            </w:r>
            <w:r>
              <w:rPr>
                <w:rFonts w:hint="eastAsia" w:asciiTheme="minorEastAsia" w:hAnsiTheme="minorEastAsia" w:eastAsiaTheme="minorEastAsia" w:cstheme="minorEastAsia"/>
                <w:color w:val="auto"/>
                <w:szCs w:val="21"/>
                <w:lang w:val="en-US" w:eastAsia="zh-CN"/>
              </w:rPr>
              <w:t>加*号的检验项目为安全项目</w:t>
            </w:r>
          </w:p>
        </w:tc>
      </w:tr>
    </w:tbl>
    <w:p w14:paraId="049A872F">
      <w:pPr>
        <w:snapToGrid w:val="0"/>
        <w:spacing w:line="440" w:lineRule="exact"/>
        <w:jc w:val="center"/>
        <w:rPr>
          <w:bCs/>
          <w:color w:val="000000"/>
          <w:szCs w:val="21"/>
        </w:rPr>
      </w:pPr>
    </w:p>
    <w:p w14:paraId="3D71D5B8">
      <w:pPr>
        <w:snapToGrid w:val="0"/>
        <w:spacing w:line="440" w:lineRule="exact"/>
        <w:jc w:val="center"/>
        <w:rPr>
          <w:rFonts w:hint="default" w:asciiTheme="minorEastAsia" w:hAnsiTheme="minorEastAsia" w:eastAsiaTheme="minorEastAsia" w:cstheme="minorEastAsia"/>
          <w:bCs/>
          <w:color w:val="000000"/>
          <w:szCs w:val="21"/>
          <w:lang w:val="en-US" w:eastAsia="zh-CN"/>
        </w:rPr>
      </w:pPr>
      <w:r>
        <w:rPr>
          <w:rFonts w:hint="eastAsia" w:asciiTheme="minorEastAsia" w:hAnsiTheme="minorEastAsia" w:eastAsiaTheme="minorEastAsia" w:cstheme="minorEastAsia"/>
          <w:bCs/>
          <w:color w:val="000000"/>
          <w:szCs w:val="21"/>
        </w:rPr>
        <w:t xml:space="preserve">表2 </w:t>
      </w:r>
      <w:r>
        <w:rPr>
          <w:rFonts w:hint="eastAsia" w:asciiTheme="minorEastAsia" w:hAnsiTheme="minorEastAsia" w:eastAsiaTheme="minorEastAsia" w:cstheme="minorEastAsia"/>
          <w:bCs/>
          <w:color w:val="000000"/>
          <w:szCs w:val="21"/>
          <w:lang w:val="en-US" w:eastAsia="zh-CN"/>
        </w:rPr>
        <w:t>有机肥料</w:t>
      </w:r>
    </w:p>
    <w:tbl>
      <w:tblPr>
        <w:tblStyle w:val="4"/>
        <w:tblW w:w="4988"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4730"/>
        <w:gridCol w:w="2835"/>
      </w:tblGrid>
      <w:tr w14:paraId="289D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blHeader/>
        </w:trPr>
        <w:tc>
          <w:tcPr>
            <w:tcW w:w="551" w:type="pct"/>
            <w:noWrap w:val="0"/>
            <w:vAlign w:val="center"/>
          </w:tcPr>
          <w:p w14:paraId="1456A8B8">
            <w:pPr>
              <w:widowControl/>
              <w:jc w:val="center"/>
              <w:rPr>
                <w:color w:val="000000"/>
                <w:kern w:val="0"/>
                <w:szCs w:val="21"/>
              </w:rPr>
            </w:pPr>
            <w:r>
              <w:rPr>
                <w:color w:val="000000"/>
                <w:kern w:val="0"/>
                <w:szCs w:val="21"/>
              </w:rPr>
              <w:t>序号</w:t>
            </w:r>
          </w:p>
        </w:tc>
        <w:tc>
          <w:tcPr>
            <w:tcW w:w="2781" w:type="pct"/>
            <w:noWrap w:val="0"/>
            <w:vAlign w:val="center"/>
          </w:tcPr>
          <w:p w14:paraId="00B4993C">
            <w:pPr>
              <w:widowControl/>
              <w:jc w:val="center"/>
              <w:rPr>
                <w:color w:val="000000"/>
                <w:kern w:val="0"/>
                <w:szCs w:val="21"/>
              </w:rPr>
            </w:pPr>
            <w:r>
              <w:rPr>
                <w:color w:val="000000"/>
                <w:kern w:val="0"/>
                <w:szCs w:val="21"/>
              </w:rPr>
              <w:t>检验项目</w:t>
            </w:r>
          </w:p>
        </w:tc>
        <w:tc>
          <w:tcPr>
            <w:tcW w:w="1667" w:type="pct"/>
            <w:noWrap w:val="0"/>
            <w:vAlign w:val="center"/>
          </w:tcPr>
          <w:p w14:paraId="09EB3844">
            <w:pPr>
              <w:widowControl/>
              <w:jc w:val="center"/>
              <w:rPr>
                <w:color w:val="000000"/>
                <w:kern w:val="0"/>
                <w:szCs w:val="21"/>
              </w:rPr>
            </w:pPr>
            <w:r>
              <w:rPr>
                <w:color w:val="000000"/>
                <w:kern w:val="0"/>
                <w:szCs w:val="21"/>
              </w:rPr>
              <w:t>检验方法</w:t>
            </w:r>
          </w:p>
        </w:tc>
      </w:tr>
      <w:tr w14:paraId="3454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51" w:type="pct"/>
            <w:noWrap w:val="0"/>
            <w:vAlign w:val="center"/>
          </w:tcPr>
          <w:p w14:paraId="4DB8041B">
            <w:pPr>
              <w:pStyle w:val="7"/>
              <w:widowControl/>
              <w:numPr>
                <w:ilvl w:val="0"/>
                <w:numId w:val="2"/>
              </w:numPr>
              <w:ind w:firstLineChars="0"/>
              <w:jc w:val="center"/>
              <w:rPr>
                <w:rFonts w:ascii="Times New Roman" w:hAnsi="Times New Roman" w:eastAsia="宋体"/>
                <w:color w:val="000000"/>
                <w:kern w:val="0"/>
                <w:szCs w:val="21"/>
              </w:rPr>
            </w:pPr>
          </w:p>
        </w:tc>
        <w:tc>
          <w:tcPr>
            <w:tcW w:w="2781" w:type="pct"/>
            <w:noWrap w:val="0"/>
            <w:vAlign w:val="center"/>
          </w:tcPr>
          <w:p w14:paraId="7FB971AD">
            <w:pPr>
              <w:widowControl/>
              <w:jc w:val="center"/>
              <w:rPr>
                <w:color w:val="000000"/>
                <w:kern w:val="0"/>
                <w:szCs w:val="21"/>
              </w:rPr>
            </w:pPr>
            <w:r>
              <w:rPr>
                <w:color w:val="000000"/>
                <w:kern w:val="0"/>
                <w:szCs w:val="21"/>
              </w:rPr>
              <w:t>总氮（N）</w:t>
            </w:r>
          </w:p>
        </w:tc>
        <w:tc>
          <w:tcPr>
            <w:tcW w:w="1667" w:type="pct"/>
            <w:noWrap w:val="0"/>
            <w:vAlign w:val="center"/>
          </w:tcPr>
          <w:p w14:paraId="5A4CF6EC">
            <w:pPr>
              <w:jc w:val="center"/>
              <w:rPr>
                <w:color w:val="000000"/>
                <w:kern w:val="0"/>
                <w:szCs w:val="21"/>
              </w:rPr>
            </w:pPr>
            <w:r>
              <w:rPr>
                <w:color w:val="000000"/>
                <w:kern w:val="0"/>
                <w:szCs w:val="21"/>
              </w:rPr>
              <w:t>NY/T 525</w:t>
            </w:r>
            <w:r>
              <w:rPr>
                <w:rFonts w:hint="eastAsia"/>
                <w:color w:val="000000"/>
                <w:szCs w:val="21"/>
                <w:lang w:eastAsia="zh-CN"/>
              </w:rPr>
              <w:t>-</w:t>
            </w:r>
            <w:r>
              <w:rPr>
                <w:color w:val="000000"/>
                <w:kern w:val="0"/>
                <w:szCs w:val="21"/>
              </w:rPr>
              <w:t>2021</w:t>
            </w:r>
          </w:p>
        </w:tc>
      </w:tr>
      <w:tr w14:paraId="5C8F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51" w:type="pct"/>
            <w:noWrap w:val="0"/>
            <w:vAlign w:val="center"/>
          </w:tcPr>
          <w:p w14:paraId="76B1304D">
            <w:pPr>
              <w:pStyle w:val="7"/>
              <w:widowControl/>
              <w:numPr>
                <w:ilvl w:val="0"/>
                <w:numId w:val="2"/>
              </w:numPr>
              <w:ind w:firstLineChars="0"/>
              <w:jc w:val="center"/>
              <w:rPr>
                <w:rFonts w:ascii="Times New Roman" w:hAnsi="Times New Roman" w:eastAsia="宋体"/>
                <w:color w:val="000000"/>
                <w:kern w:val="0"/>
                <w:szCs w:val="21"/>
              </w:rPr>
            </w:pPr>
          </w:p>
        </w:tc>
        <w:tc>
          <w:tcPr>
            <w:tcW w:w="2781" w:type="pct"/>
            <w:noWrap w:val="0"/>
            <w:vAlign w:val="center"/>
          </w:tcPr>
          <w:p w14:paraId="775E8964">
            <w:pPr>
              <w:widowControl/>
              <w:jc w:val="center"/>
              <w:rPr>
                <w:color w:val="000000"/>
                <w:kern w:val="0"/>
                <w:szCs w:val="21"/>
              </w:rPr>
            </w:pPr>
            <w:r>
              <w:rPr>
                <w:color w:val="000000"/>
                <w:kern w:val="0"/>
                <w:szCs w:val="21"/>
              </w:rPr>
              <w:t>总磷（P</w:t>
            </w:r>
            <w:r>
              <w:rPr>
                <w:color w:val="000000"/>
                <w:kern w:val="0"/>
                <w:szCs w:val="21"/>
                <w:vertAlign w:val="subscript"/>
              </w:rPr>
              <w:t>2</w:t>
            </w:r>
            <w:r>
              <w:rPr>
                <w:color w:val="000000"/>
                <w:kern w:val="0"/>
                <w:szCs w:val="21"/>
              </w:rPr>
              <w:t>O</w:t>
            </w:r>
            <w:r>
              <w:rPr>
                <w:color w:val="000000"/>
                <w:kern w:val="0"/>
                <w:szCs w:val="21"/>
                <w:vertAlign w:val="subscript"/>
              </w:rPr>
              <w:t>5</w:t>
            </w:r>
            <w:r>
              <w:rPr>
                <w:color w:val="000000"/>
                <w:kern w:val="0"/>
                <w:szCs w:val="21"/>
              </w:rPr>
              <w:t>）</w:t>
            </w:r>
          </w:p>
        </w:tc>
        <w:tc>
          <w:tcPr>
            <w:tcW w:w="1667" w:type="pct"/>
            <w:noWrap w:val="0"/>
            <w:vAlign w:val="center"/>
          </w:tcPr>
          <w:p w14:paraId="0F3562DE">
            <w:pPr>
              <w:jc w:val="center"/>
              <w:rPr>
                <w:color w:val="000000"/>
                <w:kern w:val="0"/>
                <w:szCs w:val="21"/>
              </w:rPr>
            </w:pPr>
            <w:r>
              <w:rPr>
                <w:color w:val="000000"/>
                <w:kern w:val="0"/>
                <w:szCs w:val="21"/>
              </w:rPr>
              <w:t>NY/T 525</w:t>
            </w:r>
            <w:r>
              <w:rPr>
                <w:rFonts w:hint="eastAsia"/>
                <w:color w:val="000000"/>
                <w:szCs w:val="21"/>
                <w:lang w:eastAsia="zh-CN"/>
              </w:rPr>
              <w:t>-</w:t>
            </w:r>
            <w:r>
              <w:rPr>
                <w:color w:val="000000"/>
                <w:kern w:val="0"/>
                <w:szCs w:val="21"/>
              </w:rPr>
              <w:t>2021</w:t>
            </w:r>
          </w:p>
        </w:tc>
      </w:tr>
      <w:tr w14:paraId="21B1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51" w:type="pct"/>
            <w:noWrap w:val="0"/>
            <w:vAlign w:val="center"/>
          </w:tcPr>
          <w:p w14:paraId="04A061F5">
            <w:pPr>
              <w:pStyle w:val="7"/>
              <w:widowControl/>
              <w:numPr>
                <w:ilvl w:val="0"/>
                <w:numId w:val="2"/>
              </w:numPr>
              <w:ind w:firstLineChars="0"/>
              <w:jc w:val="center"/>
              <w:rPr>
                <w:rFonts w:ascii="Times New Roman" w:hAnsi="Times New Roman" w:eastAsia="宋体"/>
                <w:kern w:val="0"/>
                <w:szCs w:val="21"/>
              </w:rPr>
            </w:pPr>
          </w:p>
        </w:tc>
        <w:tc>
          <w:tcPr>
            <w:tcW w:w="2781" w:type="pct"/>
            <w:noWrap w:val="0"/>
            <w:vAlign w:val="center"/>
          </w:tcPr>
          <w:p w14:paraId="378C3A7A">
            <w:pPr>
              <w:widowControl/>
              <w:jc w:val="center"/>
              <w:rPr>
                <w:kern w:val="0"/>
                <w:szCs w:val="21"/>
              </w:rPr>
            </w:pPr>
            <w:r>
              <w:rPr>
                <w:kern w:val="0"/>
                <w:szCs w:val="21"/>
              </w:rPr>
              <w:t>总钾（K</w:t>
            </w:r>
            <w:r>
              <w:rPr>
                <w:kern w:val="0"/>
                <w:szCs w:val="21"/>
                <w:vertAlign w:val="subscript"/>
              </w:rPr>
              <w:t>2</w:t>
            </w:r>
            <w:r>
              <w:rPr>
                <w:kern w:val="0"/>
                <w:szCs w:val="21"/>
              </w:rPr>
              <w:t>O）</w:t>
            </w:r>
          </w:p>
        </w:tc>
        <w:tc>
          <w:tcPr>
            <w:tcW w:w="1667" w:type="pct"/>
            <w:noWrap w:val="0"/>
            <w:vAlign w:val="center"/>
          </w:tcPr>
          <w:p w14:paraId="7E0F7D30">
            <w:pPr>
              <w:jc w:val="center"/>
              <w:rPr>
                <w:kern w:val="0"/>
                <w:szCs w:val="21"/>
              </w:rPr>
            </w:pPr>
            <w:r>
              <w:rPr>
                <w:kern w:val="0"/>
                <w:szCs w:val="21"/>
              </w:rPr>
              <w:t>NY/T 525</w:t>
            </w:r>
            <w:r>
              <w:rPr>
                <w:rFonts w:hint="eastAsia"/>
                <w:szCs w:val="21"/>
                <w:lang w:eastAsia="zh-CN"/>
              </w:rPr>
              <w:t>-</w:t>
            </w:r>
            <w:r>
              <w:rPr>
                <w:kern w:val="0"/>
                <w:szCs w:val="21"/>
              </w:rPr>
              <w:t>2021</w:t>
            </w:r>
          </w:p>
        </w:tc>
      </w:tr>
      <w:tr w14:paraId="7D4D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51" w:type="pct"/>
            <w:noWrap w:val="0"/>
            <w:vAlign w:val="center"/>
          </w:tcPr>
          <w:p w14:paraId="3E32CA0A">
            <w:pPr>
              <w:pStyle w:val="7"/>
              <w:widowControl/>
              <w:numPr>
                <w:ilvl w:val="0"/>
                <w:numId w:val="2"/>
              </w:numPr>
              <w:ind w:firstLineChars="0"/>
              <w:jc w:val="center"/>
              <w:rPr>
                <w:rFonts w:ascii="Times New Roman" w:hAnsi="Times New Roman" w:eastAsia="宋体"/>
                <w:kern w:val="0"/>
                <w:szCs w:val="21"/>
              </w:rPr>
            </w:pPr>
          </w:p>
        </w:tc>
        <w:tc>
          <w:tcPr>
            <w:tcW w:w="2781" w:type="pct"/>
            <w:noWrap w:val="0"/>
            <w:vAlign w:val="center"/>
          </w:tcPr>
          <w:p w14:paraId="6A1E50D4">
            <w:pPr>
              <w:widowControl/>
              <w:jc w:val="center"/>
              <w:rPr>
                <w:kern w:val="0"/>
                <w:szCs w:val="21"/>
              </w:rPr>
            </w:pPr>
            <w:r>
              <w:rPr>
                <w:kern w:val="0"/>
                <w:szCs w:val="21"/>
              </w:rPr>
              <w:t>总养分（N+P</w:t>
            </w:r>
            <w:r>
              <w:rPr>
                <w:kern w:val="0"/>
                <w:szCs w:val="21"/>
                <w:vertAlign w:val="subscript"/>
              </w:rPr>
              <w:t>2</w:t>
            </w:r>
            <w:r>
              <w:rPr>
                <w:kern w:val="0"/>
                <w:szCs w:val="21"/>
              </w:rPr>
              <w:t>O</w:t>
            </w:r>
            <w:r>
              <w:rPr>
                <w:kern w:val="0"/>
                <w:szCs w:val="21"/>
                <w:vertAlign w:val="subscript"/>
              </w:rPr>
              <w:t>5</w:t>
            </w:r>
            <w:r>
              <w:rPr>
                <w:kern w:val="0"/>
                <w:szCs w:val="21"/>
              </w:rPr>
              <w:t>+K</w:t>
            </w:r>
            <w:r>
              <w:rPr>
                <w:kern w:val="0"/>
                <w:szCs w:val="21"/>
                <w:vertAlign w:val="subscript"/>
              </w:rPr>
              <w:t>2</w:t>
            </w:r>
            <w:r>
              <w:rPr>
                <w:kern w:val="0"/>
                <w:szCs w:val="21"/>
              </w:rPr>
              <w:t>O）的质量分数（以烘干基计）</w:t>
            </w:r>
          </w:p>
        </w:tc>
        <w:tc>
          <w:tcPr>
            <w:tcW w:w="1667" w:type="pct"/>
            <w:noWrap w:val="0"/>
            <w:vAlign w:val="center"/>
          </w:tcPr>
          <w:p w14:paraId="289FF54B">
            <w:pPr>
              <w:jc w:val="center"/>
              <w:rPr>
                <w:kern w:val="0"/>
                <w:szCs w:val="21"/>
              </w:rPr>
            </w:pPr>
            <w:r>
              <w:rPr>
                <w:kern w:val="0"/>
                <w:szCs w:val="21"/>
              </w:rPr>
              <w:t>NY/T 525</w:t>
            </w:r>
            <w:r>
              <w:rPr>
                <w:rFonts w:hint="eastAsia"/>
                <w:szCs w:val="21"/>
                <w:lang w:eastAsia="zh-CN"/>
              </w:rPr>
              <w:t>-</w:t>
            </w:r>
            <w:r>
              <w:rPr>
                <w:kern w:val="0"/>
                <w:szCs w:val="21"/>
              </w:rPr>
              <w:t>2021</w:t>
            </w:r>
          </w:p>
        </w:tc>
      </w:tr>
      <w:tr w14:paraId="701F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51" w:type="pct"/>
            <w:noWrap w:val="0"/>
            <w:vAlign w:val="center"/>
          </w:tcPr>
          <w:p w14:paraId="50748CAB">
            <w:pPr>
              <w:pStyle w:val="7"/>
              <w:widowControl/>
              <w:numPr>
                <w:ilvl w:val="0"/>
                <w:numId w:val="2"/>
              </w:numPr>
              <w:ind w:firstLineChars="0"/>
              <w:jc w:val="center"/>
              <w:rPr>
                <w:rFonts w:ascii="Times New Roman" w:hAnsi="Times New Roman" w:eastAsia="宋体"/>
                <w:kern w:val="0"/>
                <w:szCs w:val="21"/>
              </w:rPr>
            </w:pPr>
          </w:p>
        </w:tc>
        <w:tc>
          <w:tcPr>
            <w:tcW w:w="2781" w:type="pct"/>
            <w:noWrap w:val="0"/>
            <w:vAlign w:val="center"/>
          </w:tcPr>
          <w:p w14:paraId="2EDA4195">
            <w:pPr>
              <w:widowControl/>
              <w:jc w:val="center"/>
              <w:rPr>
                <w:kern w:val="0"/>
                <w:szCs w:val="21"/>
              </w:rPr>
            </w:pPr>
            <w:r>
              <w:rPr>
                <w:kern w:val="0"/>
                <w:szCs w:val="21"/>
              </w:rPr>
              <w:t>有机质的质量分数（以烘干基计）</w:t>
            </w:r>
          </w:p>
        </w:tc>
        <w:tc>
          <w:tcPr>
            <w:tcW w:w="1667" w:type="pct"/>
            <w:noWrap w:val="0"/>
            <w:vAlign w:val="center"/>
          </w:tcPr>
          <w:p w14:paraId="4C36BB4B">
            <w:pPr>
              <w:jc w:val="center"/>
              <w:rPr>
                <w:kern w:val="0"/>
                <w:szCs w:val="21"/>
              </w:rPr>
            </w:pPr>
            <w:r>
              <w:rPr>
                <w:kern w:val="0"/>
                <w:szCs w:val="21"/>
              </w:rPr>
              <w:t>NY/T 525</w:t>
            </w:r>
            <w:r>
              <w:rPr>
                <w:rFonts w:hint="eastAsia"/>
                <w:szCs w:val="21"/>
                <w:lang w:eastAsia="zh-CN"/>
              </w:rPr>
              <w:t>-</w:t>
            </w:r>
            <w:r>
              <w:rPr>
                <w:kern w:val="0"/>
                <w:szCs w:val="21"/>
              </w:rPr>
              <w:t>2021</w:t>
            </w:r>
          </w:p>
        </w:tc>
      </w:tr>
      <w:tr w14:paraId="69DB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51" w:type="pct"/>
            <w:noWrap w:val="0"/>
            <w:vAlign w:val="center"/>
          </w:tcPr>
          <w:p w14:paraId="2504DB08">
            <w:pPr>
              <w:pStyle w:val="7"/>
              <w:widowControl/>
              <w:numPr>
                <w:ilvl w:val="0"/>
                <w:numId w:val="2"/>
              </w:numPr>
              <w:ind w:firstLineChars="0"/>
              <w:jc w:val="center"/>
              <w:rPr>
                <w:rFonts w:ascii="Times New Roman" w:hAnsi="Times New Roman" w:eastAsia="宋体"/>
                <w:kern w:val="0"/>
                <w:szCs w:val="21"/>
              </w:rPr>
            </w:pPr>
          </w:p>
        </w:tc>
        <w:tc>
          <w:tcPr>
            <w:tcW w:w="2781" w:type="pct"/>
            <w:noWrap w:val="0"/>
            <w:vAlign w:val="center"/>
          </w:tcPr>
          <w:p w14:paraId="0A5993A6">
            <w:pPr>
              <w:widowControl/>
              <w:jc w:val="center"/>
              <w:rPr>
                <w:kern w:val="0"/>
                <w:szCs w:val="21"/>
              </w:rPr>
            </w:pPr>
            <w:r>
              <w:rPr>
                <w:kern w:val="0"/>
                <w:szCs w:val="21"/>
              </w:rPr>
              <w:t>水分（鲜样）的质量分数</w:t>
            </w:r>
          </w:p>
        </w:tc>
        <w:tc>
          <w:tcPr>
            <w:tcW w:w="1667" w:type="pct"/>
            <w:noWrap w:val="0"/>
            <w:vAlign w:val="center"/>
          </w:tcPr>
          <w:p w14:paraId="01A31410">
            <w:pPr>
              <w:jc w:val="center"/>
              <w:rPr>
                <w:kern w:val="0"/>
                <w:szCs w:val="21"/>
              </w:rPr>
            </w:pPr>
            <w:r>
              <w:rPr>
                <w:kern w:val="0"/>
                <w:szCs w:val="21"/>
              </w:rPr>
              <w:t>GB/T 8576</w:t>
            </w:r>
            <w:r>
              <w:rPr>
                <w:rFonts w:hint="eastAsia"/>
                <w:szCs w:val="21"/>
                <w:lang w:eastAsia="zh-CN"/>
              </w:rPr>
              <w:t>-</w:t>
            </w:r>
            <w:r>
              <w:rPr>
                <w:kern w:val="0"/>
                <w:szCs w:val="21"/>
              </w:rPr>
              <w:t>2010</w:t>
            </w:r>
          </w:p>
        </w:tc>
      </w:tr>
      <w:tr w14:paraId="3C88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51" w:type="pct"/>
            <w:noWrap w:val="0"/>
            <w:vAlign w:val="center"/>
          </w:tcPr>
          <w:p w14:paraId="35DA153C">
            <w:pPr>
              <w:pStyle w:val="7"/>
              <w:widowControl/>
              <w:numPr>
                <w:ilvl w:val="0"/>
                <w:numId w:val="2"/>
              </w:numPr>
              <w:ind w:firstLineChars="0"/>
              <w:jc w:val="center"/>
              <w:rPr>
                <w:rFonts w:ascii="Times New Roman" w:hAnsi="Times New Roman" w:eastAsia="宋体"/>
                <w:kern w:val="0"/>
                <w:szCs w:val="21"/>
              </w:rPr>
            </w:pPr>
          </w:p>
        </w:tc>
        <w:tc>
          <w:tcPr>
            <w:tcW w:w="2781" w:type="pct"/>
            <w:noWrap w:val="0"/>
            <w:vAlign w:val="center"/>
          </w:tcPr>
          <w:p w14:paraId="776CFEEE">
            <w:pPr>
              <w:widowControl/>
              <w:jc w:val="center"/>
              <w:rPr>
                <w:rFonts w:hint="eastAsia" w:eastAsia="宋体"/>
                <w:kern w:val="0"/>
                <w:szCs w:val="21"/>
                <w:lang w:eastAsia="zh-CN"/>
              </w:rPr>
            </w:pPr>
            <w:r>
              <w:rPr>
                <w:rFonts w:hint="eastAsia"/>
                <w:kern w:val="0"/>
                <w:szCs w:val="21"/>
                <w:lang w:val="en-US" w:eastAsia="zh-CN"/>
              </w:rPr>
              <w:t>粒度</w:t>
            </w:r>
          </w:p>
        </w:tc>
        <w:tc>
          <w:tcPr>
            <w:tcW w:w="1667" w:type="pct"/>
            <w:noWrap w:val="0"/>
            <w:vAlign w:val="center"/>
          </w:tcPr>
          <w:p w14:paraId="0401179F">
            <w:pPr>
              <w:jc w:val="center"/>
              <w:rPr>
                <w:kern w:val="0"/>
                <w:szCs w:val="21"/>
              </w:rPr>
            </w:pPr>
            <w:r>
              <w:rPr>
                <w:kern w:val="0"/>
                <w:szCs w:val="21"/>
              </w:rPr>
              <w:t>NY/T 525</w:t>
            </w:r>
            <w:r>
              <w:rPr>
                <w:rFonts w:hint="eastAsia"/>
                <w:szCs w:val="21"/>
                <w:lang w:eastAsia="zh-CN"/>
              </w:rPr>
              <w:t>-</w:t>
            </w:r>
            <w:r>
              <w:rPr>
                <w:kern w:val="0"/>
                <w:szCs w:val="21"/>
              </w:rPr>
              <w:t>2021</w:t>
            </w:r>
          </w:p>
        </w:tc>
      </w:tr>
    </w:tbl>
    <w:p w14:paraId="206894F5">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bookmarkStart w:id="1" w:name="_Hlk101710548"/>
    </w:p>
    <w:bookmarkEnd w:id="1"/>
    <w:p w14:paraId="0AA389B3">
      <w:pPr>
        <w:spacing w:line="440" w:lineRule="exact"/>
        <w:rPr>
          <w:rFonts w:eastAsia="黑体"/>
          <w:color w:val="000000"/>
          <w:szCs w:val="21"/>
        </w:rPr>
      </w:pPr>
      <w:r>
        <w:rPr>
          <w:rFonts w:eastAsia="黑体"/>
          <w:color w:val="000000"/>
          <w:szCs w:val="21"/>
        </w:rPr>
        <w:t>3 判定规则</w:t>
      </w:r>
    </w:p>
    <w:p w14:paraId="618DA5EC">
      <w:pPr>
        <w:snapToGrid w:val="0"/>
        <w:spacing w:line="440" w:lineRule="exact"/>
        <w:rPr>
          <w:bCs/>
          <w:color w:val="000000"/>
          <w:szCs w:val="21"/>
        </w:rPr>
      </w:pPr>
      <w:r>
        <w:rPr>
          <w:color w:val="000000"/>
          <w:szCs w:val="21"/>
        </w:rPr>
        <w:t>3.1依据标准</w:t>
      </w:r>
    </w:p>
    <w:p w14:paraId="1BABBA20">
      <w:pPr>
        <w:spacing w:line="440" w:lineRule="exact"/>
        <w:ind w:firstLine="420" w:firstLineChars="200"/>
        <w:rPr>
          <w:bCs/>
          <w:color w:val="000000"/>
          <w:szCs w:val="21"/>
        </w:rPr>
      </w:pPr>
      <w:r>
        <w:rPr>
          <w:bCs/>
          <w:color w:val="000000"/>
          <w:szCs w:val="21"/>
        </w:rPr>
        <w:t>GB/T 15063</w:t>
      </w:r>
      <w:r>
        <w:rPr>
          <w:rFonts w:hint="eastAsia"/>
          <w:color w:val="000000"/>
          <w:szCs w:val="21"/>
          <w:lang w:eastAsia="zh-CN"/>
        </w:rPr>
        <w:t>-</w:t>
      </w:r>
      <w:r>
        <w:rPr>
          <w:bCs/>
          <w:color w:val="000000"/>
          <w:szCs w:val="21"/>
        </w:rPr>
        <w:t>2020 复合肥料</w:t>
      </w:r>
    </w:p>
    <w:p w14:paraId="3C1A5FA1">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bCs/>
          <w:color w:val="000000"/>
          <w:szCs w:val="21"/>
        </w:rPr>
      </w:pPr>
      <w:r>
        <w:rPr>
          <w:bCs/>
          <w:color w:val="000000"/>
          <w:szCs w:val="21"/>
        </w:rPr>
        <w:t>NY/T 525</w:t>
      </w:r>
      <w:r>
        <w:rPr>
          <w:rFonts w:hint="eastAsia"/>
          <w:color w:val="000000"/>
          <w:szCs w:val="21"/>
          <w:lang w:eastAsia="zh-CN"/>
        </w:rPr>
        <w:t>-</w:t>
      </w:r>
      <w:r>
        <w:rPr>
          <w:bCs/>
          <w:color w:val="000000"/>
          <w:szCs w:val="21"/>
        </w:rPr>
        <w:t>2021 有机肥料</w:t>
      </w:r>
    </w:p>
    <w:p w14:paraId="51A4DA2A">
      <w:pPr>
        <w:spacing w:line="440" w:lineRule="exact"/>
        <w:ind w:firstLine="420" w:firstLineChars="200"/>
        <w:rPr>
          <w:bCs/>
          <w:strike/>
          <w:color w:val="000000"/>
          <w:szCs w:val="21"/>
        </w:rPr>
      </w:pPr>
      <w:r>
        <w:rPr>
          <w:color w:val="000000"/>
          <w:szCs w:val="21"/>
        </w:rPr>
        <w:t>现行有效的企业标准、团体标准、地方标准及产品明示质量要求</w:t>
      </w:r>
    </w:p>
    <w:p w14:paraId="1674927F">
      <w:pPr>
        <w:snapToGrid w:val="0"/>
        <w:spacing w:line="440" w:lineRule="exact"/>
        <w:rPr>
          <w:color w:val="000000"/>
          <w:szCs w:val="21"/>
        </w:rPr>
      </w:pPr>
      <w:r>
        <w:rPr>
          <w:color w:val="000000"/>
          <w:szCs w:val="21"/>
        </w:rPr>
        <w:t>3.2判定原则</w:t>
      </w:r>
    </w:p>
    <w:p w14:paraId="38004E90">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1F8CFFF4">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24F0FF8D">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3A542051">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0CEE42DB">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54964EE2">
      <w:pPr>
        <w:snapToGrid w:val="0"/>
        <w:spacing w:line="440" w:lineRule="exact"/>
        <w:ind w:firstLine="417" w:firstLineChars="199"/>
        <w:rPr>
          <w:rFonts w:hint="eastAsia" w:ascii="宋体" w:hAnsi="宋体" w:cs="方正仿宋简体"/>
          <w:color w:val="000000"/>
          <w:szCs w:val="21"/>
          <w:lang w:val="en-US" w:eastAsia="zh-CN"/>
        </w:rPr>
      </w:pPr>
      <w:r>
        <w:rPr>
          <w:color w:val="000000"/>
          <w:szCs w:val="21"/>
        </w:rPr>
        <w:t>若被检产品明示的质量要求缺少本细则中检验项目依据的推荐性标准要求时，该项目不参与判定。</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05A7CB-33DF-4422-BB89-6FC1913354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070D1C5-C575-40C7-A180-00C8C4D91A0E}"/>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3" w:fontKey="{627B9917-1AEF-402F-BBC8-448F63648ECE}"/>
  </w:font>
  <w:font w:name="方正仿宋简体">
    <w:altName w:val="微软雅黑"/>
    <w:panose1 w:val="02010601030101010101"/>
    <w:charset w:val="86"/>
    <w:family w:val="auto"/>
    <w:pitch w:val="default"/>
    <w:sig w:usb0="00000000" w:usb1="00000000" w:usb2="00000010" w:usb3="00000000" w:csb0="00040000" w:csb1="00000000"/>
    <w:embedRegular r:id="rId4" w:fontKey="{7140E0DC-8FA1-4A0E-A5E8-C0CDF1477242}"/>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36A4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322F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5322F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05519"/>
    <w:multiLevelType w:val="multilevel"/>
    <w:tmpl w:val="65605519"/>
    <w:lvl w:ilvl="0" w:tentative="0">
      <w:start w:val="1"/>
      <w:numFmt w:val="decimal"/>
      <w:suff w:val="nothing"/>
      <w:lvlText w:val="%1"/>
      <w:lvlJc w:val="left"/>
      <w:pPr>
        <w:ind w:left="0" w:firstLine="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59C3213"/>
    <w:multiLevelType w:val="multilevel"/>
    <w:tmpl w:val="759C3213"/>
    <w:lvl w:ilvl="0" w:tentative="0">
      <w:start w:val="1"/>
      <w:numFmt w:val="decimal"/>
      <w:suff w:val="nothing"/>
      <w:lvlText w:val="%1"/>
      <w:lvlJc w:val="left"/>
      <w:pPr>
        <w:ind w:left="0" w:firstLine="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2NjRjMzhhODQ5MTBhNjM2YTA3ZjA3ODgyMTQzNzUifQ=="/>
  </w:docVars>
  <w:rsids>
    <w:rsidRoot w:val="00000000"/>
    <w:rsid w:val="0144330B"/>
    <w:rsid w:val="04CC2030"/>
    <w:rsid w:val="06777B3F"/>
    <w:rsid w:val="0A1C5165"/>
    <w:rsid w:val="0AE40B38"/>
    <w:rsid w:val="0E927698"/>
    <w:rsid w:val="108B6F10"/>
    <w:rsid w:val="156A32DB"/>
    <w:rsid w:val="18D50C06"/>
    <w:rsid w:val="19B401DB"/>
    <w:rsid w:val="1F234887"/>
    <w:rsid w:val="1FF05EC2"/>
    <w:rsid w:val="2530610D"/>
    <w:rsid w:val="2BA26106"/>
    <w:rsid w:val="2F910C40"/>
    <w:rsid w:val="33AA1012"/>
    <w:rsid w:val="3B6C4898"/>
    <w:rsid w:val="44611A44"/>
    <w:rsid w:val="48B00483"/>
    <w:rsid w:val="48DB6530"/>
    <w:rsid w:val="497167B8"/>
    <w:rsid w:val="50EC507E"/>
    <w:rsid w:val="54AC1B27"/>
    <w:rsid w:val="58500B21"/>
    <w:rsid w:val="594E0D3B"/>
    <w:rsid w:val="5A3D4B3A"/>
    <w:rsid w:val="5A5E1E7B"/>
    <w:rsid w:val="5F645F89"/>
    <w:rsid w:val="604707B1"/>
    <w:rsid w:val="63116428"/>
    <w:rsid w:val="6538157A"/>
    <w:rsid w:val="66BE1598"/>
    <w:rsid w:val="67E751D8"/>
    <w:rsid w:val="68122C4A"/>
    <w:rsid w:val="6853250C"/>
    <w:rsid w:val="71107825"/>
    <w:rsid w:val="71473D45"/>
    <w:rsid w:val="78BC10DB"/>
    <w:rsid w:val="7A6879D2"/>
    <w:rsid w:val="7B39293F"/>
    <w:rsid w:val="7C6829F0"/>
    <w:rsid w:val="7CE00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NormalCharacter"/>
    <w:semiHidden/>
    <w:qFormat/>
    <w:uiPriority w:val="0"/>
  </w:style>
  <w:style w:type="paragraph" w:styleId="7">
    <w:name w:val="List Paragraph"/>
    <w:basedOn w:val="1"/>
    <w:qFormat/>
    <w:uiPriority w:val="34"/>
    <w:pPr>
      <w:ind w:firstLine="420" w:firstLineChars="200"/>
    </w:pPr>
    <w:rPr>
      <w:rFonts w:ascii="等线" w:hAnsi="等线" w:eastAsia="等线"/>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695</Words>
  <Characters>955</Characters>
  <Lines>0</Lines>
  <Paragraphs>0</Paragraphs>
  <TotalTime>0</TotalTime>
  <ScaleCrop>false</ScaleCrop>
  <LinksUpToDate>false</LinksUpToDate>
  <CharactersWithSpaces>980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2024-04-16T20:15:00Z</dcterms:created>
  <dc:creator>Lenovo</dc:creator>
  <cp:lastModifiedBy>々</cp:lastModifiedBy>
  <dcterms:modified xsi:type="dcterms:W3CDTF">2026-08-27T13:15:40Z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75FBFAB2D4104306ABFA6B5C0EB81476_13</vt:lpwstr>
  </property>
  <property fmtid="{D5CDD505-2E9C-101B-9397-08002B2CF9AE}" pid="4" name="KSOTemplateDocerSaveRecord">
    <vt:lpwstr>eyJoZGlkIjoiMjBkOTRkOWViYzMzN2RmY2Y4NWQ4NjIxM2VjNmM4M2UiLCJ1c2VySWQiOiIxNDg4MTc1NDIyIn0=</vt:lpwstr>
  </property>
</Properties>
</file>