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F9E8">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ascii="宋体" w:hAnsi="宋体" w:eastAsia="宋体" w:cs="宋体"/>
          <w:spacing w:val="-12"/>
          <w:sz w:val="44"/>
          <w:szCs w:val="44"/>
        </w:rPr>
      </w:pPr>
    </w:p>
    <w:p w14:paraId="43EF4A3E">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center"/>
        <w:textAlignment w:val="baseline"/>
        <w:rPr>
          <w:rFonts w:ascii="宋体" w:hAnsi="宋体" w:eastAsia="宋体" w:cs="宋体"/>
          <w:spacing w:val="-12"/>
          <w:sz w:val="44"/>
          <w:szCs w:val="44"/>
        </w:rPr>
      </w:pPr>
    </w:p>
    <w:p w14:paraId="7253E4E2">
      <w:pPr>
        <w:keepNext w:val="0"/>
        <w:keepLines w:val="0"/>
        <w:pageBreakBefore w:val="0"/>
        <w:widowControl w:val="0"/>
        <w:tabs>
          <w:tab w:val="left" w:pos="364"/>
          <w:tab w:val="left" w:pos="1246"/>
          <w:tab w:val="left" w:pos="2535"/>
          <w:tab w:val="center" w:pos="8623"/>
        </w:tabs>
        <w:kinsoku/>
        <w:wordWrap/>
        <w:overflowPunct/>
        <w:topLinePunct w:val="0"/>
        <w:autoSpaceDE/>
        <w:autoSpaceDN/>
        <w:bidi w:val="0"/>
        <w:adjustRightInd/>
        <w:snapToGrid/>
        <w:spacing w:line="560" w:lineRule="exact"/>
        <w:ind w:firstLine="0" w:firstLineChars="0"/>
        <w:jc w:val="center"/>
        <w:textAlignment w:val="auto"/>
        <w:rPr>
          <w:rFonts w:hint="eastAsia" w:ascii="方正粗黑宋简体" w:hAnsi="方正粗黑宋简体" w:eastAsia="方正粗黑宋简体" w:cs="方正粗黑宋简体"/>
          <w:bCs/>
          <w:snapToGrid/>
          <w:kern w:val="2"/>
          <w:sz w:val="44"/>
          <w:szCs w:val="44"/>
          <w:lang w:eastAsia="zh-CN"/>
        </w:rPr>
      </w:pPr>
      <w:r>
        <w:rPr>
          <w:rFonts w:hint="eastAsia" w:ascii="方正粗黑宋简体" w:hAnsi="方正粗黑宋简体" w:eastAsia="方正粗黑宋简体" w:cs="方正粗黑宋简体"/>
          <w:bCs/>
          <w:snapToGrid/>
          <w:kern w:val="2"/>
          <w:sz w:val="44"/>
          <w:szCs w:val="44"/>
          <w:lang w:eastAsia="zh-CN"/>
        </w:rPr>
        <w:t>关于对《吐鲁番恒泰矿业有限责任公司鄯善至库米什高速公路项目高昌区4号取料场矿产资源开发利用与生态保护修复方案》</w:t>
      </w:r>
    </w:p>
    <w:p w14:paraId="5356845E">
      <w:pPr>
        <w:keepNext w:val="0"/>
        <w:keepLines w:val="0"/>
        <w:pageBreakBefore w:val="0"/>
        <w:widowControl w:val="0"/>
        <w:tabs>
          <w:tab w:val="left" w:pos="364"/>
          <w:tab w:val="left" w:pos="1246"/>
          <w:tab w:val="left" w:pos="2535"/>
          <w:tab w:val="center" w:pos="8623"/>
        </w:tabs>
        <w:kinsoku/>
        <w:wordWrap/>
        <w:overflowPunct/>
        <w:topLinePunct w:val="0"/>
        <w:autoSpaceDE/>
        <w:autoSpaceDN/>
        <w:bidi w:val="0"/>
        <w:adjustRightInd/>
        <w:snapToGrid/>
        <w:spacing w:line="560" w:lineRule="exact"/>
        <w:ind w:firstLine="0" w:firstLineChars="0"/>
        <w:jc w:val="center"/>
        <w:textAlignment w:val="auto"/>
        <w:rPr>
          <w:rFonts w:hint="eastAsia" w:ascii="方正粗黑宋简体" w:hAnsi="方正粗黑宋简体" w:eastAsia="方正粗黑宋简体" w:cs="方正粗黑宋简体"/>
          <w:bCs/>
          <w:snapToGrid/>
          <w:kern w:val="2"/>
          <w:sz w:val="44"/>
          <w:szCs w:val="44"/>
          <w:lang w:eastAsia="zh-CN"/>
        </w:rPr>
      </w:pPr>
      <w:r>
        <w:rPr>
          <w:rFonts w:hint="eastAsia" w:ascii="方正粗黑宋简体" w:hAnsi="方正粗黑宋简体" w:eastAsia="方正粗黑宋简体" w:cs="方正粗黑宋简体"/>
          <w:bCs/>
          <w:snapToGrid/>
          <w:kern w:val="2"/>
          <w:sz w:val="44"/>
          <w:szCs w:val="44"/>
          <w:lang w:eastAsia="zh-CN"/>
        </w:rPr>
        <w:t>专家意见的认定</w:t>
      </w:r>
    </w:p>
    <w:p w14:paraId="626A8D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napToGrid/>
          <w:kern w:val="2"/>
          <w:sz w:val="32"/>
          <w:szCs w:val="32"/>
        </w:rPr>
      </w:pPr>
    </w:p>
    <w:p w14:paraId="78BAF53A">
      <w:pPr>
        <w:ind w:firstLine="640"/>
        <w:jc w:val="center"/>
        <w:rPr>
          <w:rFonts w:ascii="宋体" w:hAnsi="宋体" w:eastAsia="宋体" w:cs="宋体"/>
          <w:sz w:val="32"/>
          <w:szCs w:val="32"/>
        </w:rPr>
      </w:pPr>
    </w:p>
    <w:p w14:paraId="712B8806">
      <w:pPr>
        <w:ind w:firstLine="640"/>
        <w:jc w:val="center"/>
        <w:rPr>
          <w:rFonts w:ascii="宋体" w:hAnsi="宋体" w:eastAsia="宋体" w:cs="宋体"/>
          <w:sz w:val="32"/>
          <w:szCs w:val="32"/>
        </w:rPr>
      </w:pPr>
    </w:p>
    <w:p w14:paraId="6468AC20">
      <w:pPr>
        <w:ind w:firstLine="640"/>
        <w:jc w:val="center"/>
        <w:rPr>
          <w:rFonts w:ascii="宋体" w:hAnsi="宋体" w:eastAsia="宋体" w:cs="宋体"/>
          <w:sz w:val="32"/>
          <w:szCs w:val="32"/>
        </w:rPr>
      </w:pPr>
    </w:p>
    <w:p w14:paraId="67DBB1A5">
      <w:pPr>
        <w:ind w:firstLine="640"/>
        <w:jc w:val="center"/>
        <w:rPr>
          <w:rFonts w:ascii="宋体" w:hAnsi="宋体" w:eastAsia="宋体" w:cs="宋体"/>
          <w:color w:val="auto"/>
          <w:sz w:val="32"/>
          <w:szCs w:val="32"/>
        </w:rPr>
      </w:pPr>
    </w:p>
    <w:p w14:paraId="55EDBF10">
      <w:pPr>
        <w:spacing w:line="248" w:lineRule="auto"/>
        <w:ind w:firstLine="560"/>
        <w:rPr>
          <w:rFonts w:ascii="宋体" w:hAnsi="宋体" w:eastAsia="宋体" w:cs="宋体"/>
          <w:color w:val="auto"/>
        </w:rPr>
      </w:pPr>
    </w:p>
    <w:p w14:paraId="0990BE01">
      <w:pPr>
        <w:spacing w:line="248" w:lineRule="auto"/>
        <w:ind w:firstLine="560"/>
        <w:rPr>
          <w:rFonts w:ascii="宋体" w:hAnsi="宋体" w:eastAsia="宋体" w:cs="宋体"/>
          <w:color w:val="auto"/>
        </w:rPr>
      </w:pPr>
    </w:p>
    <w:p w14:paraId="7A203B7C">
      <w:pPr>
        <w:spacing w:line="248" w:lineRule="auto"/>
        <w:ind w:firstLine="560"/>
        <w:rPr>
          <w:rFonts w:ascii="宋体" w:hAnsi="宋体" w:eastAsia="宋体" w:cs="宋体"/>
          <w:color w:val="auto"/>
        </w:rPr>
      </w:pPr>
    </w:p>
    <w:p w14:paraId="48E572D5">
      <w:pPr>
        <w:spacing w:line="248" w:lineRule="auto"/>
        <w:ind w:firstLine="560"/>
        <w:rPr>
          <w:rFonts w:ascii="宋体" w:hAnsi="宋体" w:eastAsia="宋体" w:cs="宋体"/>
          <w:color w:val="auto"/>
        </w:rPr>
      </w:pPr>
    </w:p>
    <w:p w14:paraId="12D3B324">
      <w:pPr>
        <w:spacing w:line="248" w:lineRule="auto"/>
        <w:ind w:firstLine="560"/>
        <w:rPr>
          <w:rFonts w:ascii="宋体" w:hAnsi="宋体" w:eastAsia="宋体" w:cs="宋体"/>
        </w:rPr>
      </w:pPr>
    </w:p>
    <w:p w14:paraId="71BDDDC8">
      <w:pPr>
        <w:spacing w:line="248" w:lineRule="auto"/>
        <w:ind w:firstLine="560"/>
        <w:rPr>
          <w:rFonts w:ascii="宋体" w:hAnsi="宋体" w:eastAsia="宋体" w:cs="宋体"/>
        </w:rPr>
      </w:pPr>
    </w:p>
    <w:p w14:paraId="24C8D529">
      <w:pPr>
        <w:spacing w:line="248" w:lineRule="auto"/>
        <w:ind w:firstLine="560"/>
        <w:rPr>
          <w:rFonts w:ascii="宋体" w:hAnsi="宋体" w:eastAsia="宋体" w:cs="宋体"/>
        </w:rPr>
      </w:pPr>
    </w:p>
    <w:p w14:paraId="73D87746">
      <w:pPr>
        <w:spacing w:line="248" w:lineRule="auto"/>
        <w:ind w:firstLine="560"/>
        <w:rPr>
          <w:rFonts w:ascii="宋体" w:hAnsi="宋体" w:eastAsia="宋体" w:cs="宋体"/>
        </w:rPr>
      </w:pPr>
    </w:p>
    <w:p w14:paraId="14FFB414">
      <w:pPr>
        <w:spacing w:line="249" w:lineRule="auto"/>
        <w:ind w:firstLine="560"/>
        <w:rPr>
          <w:rFonts w:ascii="宋体" w:hAnsi="宋体" w:eastAsia="宋体" w:cs="宋体"/>
        </w:rPr>
      </w:pPr>
    </w:p>
    <w:p w14:paraId="7FB95A66">
      <w:pPr>
        <w:widowControl w:val="0"/>
        <w:kinsoku/>
        <w:autoSpaceDE/>
        <w:autoSpaceDN/>
        <w:adjustRightInd/>
        <w:snapToGrid/>
        <w:spacing w:line="600" w:lineRule="exact"/>
        <w:ind w:firstLine="0" w:firstLineChars="0"/>
        <w:jc w:val="center"/>
        <w:textAlignment w:val="auto"/>
        <w:rPr>
          <w:rFonts w:hint="eastAsia" w:ascii="黑体" w:hAnsi="黑体" w:eastAsia="黑体" w:cs="Times New Roman"/>
          <w:snapToGrid/>
          <w:kern w:val="2"/>
          <w:sz w:val="32"/>
          <w:szCs w:val="32"/>
          <w:lang w:val="en-US" w:eastAsia="zh-CN"/>
        </w:rPr>
      </w:pPr>
    </w:p>
    <w:p w14:paraId="26D6DDC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Times New Roman"/>
          <w:snapToGrid/>
          <w:kern w:val="2"/>
          <w:sz w:val="32"/>
          <w:szCs w:val="32"/>
          <w:lang w:val="en-US" w:eastAsia="zh-CN"/>
        </w:rPr>
      </w:pPr>
      <w:r>
        <w:rPr>
          <w:rFonts w:hint="eastAsia" w:ascii="黑体" w:hAnsi="黑体" w:eastAsia="黑体" w:cs="Times New Roman"/>
          <w:snapToGrid/>
          <w:kern w:val="2"/>
          <w:sz w:val="32"/>
          <w:szCs w:val="32"/>
          <w:lang w:val="en-US" w:eastAsia="zh-CN"/>
        </w:rPr>
        <w:t>吐鲁番市自然资源局高昌区分局</w:t>
      </w:r>
    </w:p>
    <w:p w14:paraId="7F40B47B">
      <w:pPr>
        <w:ind w:firstLine="560"/>
        <w:rPr>
          <w:rFonts w:ascii="宋体" w:hAnsi="宋体" w:eastAsia="宋体" w:cs="宋体"/>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39"/>
          <w:pgMar w:top="1431" w:right="1242" w:bottom="1070" w:left="1225" w:header="0" w:footer="875" w:gutter="0"/>
          <w:pgNumType w:fmt="numberInDash"/>
          <w:cols w:space="720" w:num="1"/>
        </w:sectPr>
      </w:pPr>
    </w:p>
    <w:p w14:paraId="5B7DB119">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送审单位：</w:t>
      </w:r>
      <w:r>
        <w:rPr>
          <w:rFonts w:hint="eastAsia" w:ascii="仿宋_GB2312" w:hAnsi="仿宋_GB2312" w:eastAsia="仿宋_GB2312" w:cs="仿宋_GB2312"/>
          <w:spacing w:val="1"/>
          <w:sz w:val="32"/>
          <w:szCs w:val="32"/>
          <w:lang w:eastAsia="zh-CN"/>
        </w:rPr>
        <w:t>吐鲁番恒泰矿业有限责任公司</w:t>
      </w:r>
    </w:p>
    <w:p w14:paraId="71F7241B">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编制单位：</w:t>
      </w:r>
      <w:r>
        <w:rPr>
          <w:rFonts w:hint="eastAsia" w:ascii="仿宋_GB2312" w:hAnsi="仿宋_GB2312" w:eastAsia="仿宋_GB2312" w:cs="仿宋_GB2312"/>
          <w:spacing w:val="1"/>
          <w:sz w:val="32"/>
          <w:szCs w:val="32"/>
          <w:lang w:eastAsia="zh-CN"/>
        </w:rPr>
        <w:t>新疆智耀土地规划咨询有限公司</w:t>
      </w:r>
    </w:p>
    <w:p w14:paraId="791DF0E4">
      <w:pPr>
        <w:ind w:firstLine="564"/>
        <w:rPr>
          <w:rFonts w:hint="eastAsia"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rPr>
        <w:t>项目负责人：</w:t>
      </w:r>
      <w:r>
        <w:rPr>
          <w:rFonts w:hint="eastAsia" w:ascii="仿宋_GB2312" w:hAnsi="仿宋_GB2312" w:eastAsia="仿宋_GB2312" w:cs="仿宋_GB2312"/>
          <w:spacing w:val="1"/>
          <w:sz w:val="32"/>
          <w:szCs w:val="32"/>
          <w:lang w:val="en-US" w:eastAsia="zh-CN"/>
        </w:rPr>
        <w:t>王锋</w:t>
      </w:r>
    </w:p>
    <w:p w14:paraId="5BC57521">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编制人员：</w:t>
      </w:r>
      <w:r>
        <w:rPr>
          <w:rFonts w:hint="eastAsia" w:ascii="仿宋_GB2312" w:hAnsi="仿宋_GB2312" w:eastAsia="仿宋_GB2312" w:cs="仿宋_GB2312"/>
          <w:spacing w:val="1"/>
          <w:sz w:val="32"/>
          <w:szCs w:val="32"/>
          <w:lang w:val="en-US" w:eastAsia="zh-CN"/>
        </w:rPr>
        <w:t>张珺 刘博 杨洪超</w:t>
      </w:r>
    </w:p>
    <w:p w14:paraId="49A5BDBE">
      <w:pPr>
        <w:ind w:firstLine="564"/>
        <w:rPr>
          <w:rFonts w:hint="default" w:ascii="仿宋_GB2312" w:hAnsi="仿宋_GB2312" w:eastAsia="仿宋_GB2312" w:cs="仿宋_GB2312"/>
          <w:spacing w:val="1"/>
          <w:sz w:val="32"/>
          <w:szCs w:val="32"/>
          <w:lang w:val="en-US" w:eastAsia="zh-CN"/>
        </w:rPr>
      </w:pPr>
      <w:r>
        <w:rPr>
          <w:rFonts w:hint="eastAsia" w:ascii="仿宋_GB2312" w:hAnsi="仿宋_GB2312" w:eastAsia="仿宋_GB2312" w:cs="仿宋_GB2312"/>
          <w:spacing w:val="1"/>
          <w:sz w:val="32"/>
          <w:szCs w:val="32"/>
        </w:rPr>
        <w:t>评审专家组长：</w:t>
      </w:r>
      <w:r>
        <w:rPr>
          <w:rFonts w:hint="eastAsia" w:ascii="仿宋_GB2312" w:hAnsi="仿宋_GB2312" w:eastAsia="仿宋_GB2312" w:cs="仿宋_GB2312"/>
          <w:spacing w:val="1"/>
          <w:sz w:val="32"/>
          <w:szCs w:val="32"/>
          <w:lang w:val="en-US" w:eastAsia="zh-CN"/>
        </w:rPr>
        <w:t>罗爱民</w:t>
      </w:r>
    </w:p>
    <w:p w14:paraId="3324497C">
      <w:pPr>
        <w:ind w:firstLine="564"/>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评审专家组成员：</w:t>
      </w:r>
      <w:bookmarkStart w:id="0" w:name="_Hlk100068033"/>
      <w:bookmarkStart w:id="1" w:name="_Hlk91929016"/>
      <w:r>
        <w:rPr>
          <w:rFonts w:hint="eastAsia" w:ascii="仿宋_GB2312" w:hAnsi="仿宋_GB2312" w:eastAsia="仿宋_GB2312" w:cs="仿宋_GB2312"/>
          <w:spacing w:val="1"/>
          <w:sz w:val="32"/>
          <w:szCs w:val="32"/>
          <w:lang w:val="en-US" w:eastAsia="zh-CN"/>
        </w:rPr>
        <w:t xml:space="preserve">董维平 黄铁栋 </w:t>
      </w:r>
      <w:r>
        <w:rPr>
          <w:rFonts w:hint="eastAsia" w:ascii="仿宋_GB2312" w:hAnsi="仿宋_GB2312" w:eastAsia="仿宋_GB2312" w:cs="仿宋_GB2312"/>
          <w:spacing w:val="1"/>
          <w:sz w:val="32"/>
          <w:szCs w:val="32"/>
        </w:rPr>
        <w:t xml:space="preserve"> </w:t>
      </w:r>
    </w:p>
    <w:bookmarkEnd w:id="0"/>
    <w:bookmarkEnd w:id="1"/>
    <w:p w14:paraId="4BA2D403">
      <w:pPr>
        <w:ind w:firstLine="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认 定 单 位：</w:t>
      </w:r>
      <w:r>
        <w:rPr>
          <w:rFonts w:hint="eastAsia" w:ascii="仿宋_GB2312" w:hAnsi="仿宋_GB2312" w:eastAsia="仿宋_GB2312" w:cs="仿宋_GB2312"/>
          <w:color w:val="000000" w:themeColor="text1"/>
          <w:sz w:val="32"/>
          <w:szCs w:val="32"/>
          <w14:textFill>
            <w14:solidFill>
              <w14:schemeClr w14:val="tx1"/>
            </w14:solidFill>
          </w14:textFill>
        </w:rPr>
        <w:t>吐鲁番市自然资源局高昌区分局</w:t>
      </w:r>
    </w:p>
    <w:p w14:paraId="104B4939">
      <w:pPr>
        <w:ind w:firstLine="564"/>
        <w:rPr>
          <w:rFonts w:hint="eastAsia" w:ascii="仿宋_GB2312" w:hAnsi="仿宋_GB2312" w:eastAsia="仿宋_GB2312" w:cs="仿宋_GB2312"/>
          <w:color w:val="auto"/>
          <w:spacing w:val="1"/>
          <w:sz w:val="32"/>
          <w:szCs w:val="32"/>
          <w:highlight w:val="none"/>
          <w:lang w:eastAsia="zh-CN"/>
        </w:rPr>
      </w:pPr>
      <w:r>
        <w:rPr>
          <w:rFonts w:hint="eastAsia" w:ascii="仿宋_GB2312" w:hAnsi="仿宋_GB2312" w:eastAsia="仿宋_GB2312" w:cs="仿宋_GB2312"/>
          <w:color w:val="auto"/>
          <w:spacing w:val="1"/>
          <w:sz w:val="32"/>
          <w:szCs w:val="32"/>
          <w:highlight w:val="none"/>
        </w:rPr>
        <w:t>评审方式：</w:t>
      </w:r>
      <w:r>
        <w:rPr>
          <w:rFonts w:hint="eastAsia" w:ascii="仿宋_GB2312" w:hAnsi="仿宋_GB2312" w:eastAsia="仿宋_GB2312" w:cs="仿宋_GB2312"/>
          <w:color w:val="auto"/>
          <w:spacing w:val="1"/>
          <w:sz w:val="32"/>
          <w:szCs w:val="32"/>
          <w:highlight w:val="none"/>
          <w:lang w:val="en-US" w:eastAsia="zh-CN"/>
        </w:rPr>
        <w:t>线上</w:t>
      </w:r>
      <w:r>
        <w:rPr>
          <w:rFonts w:hint="eastAsia" w:ascii="仿宋_GB2312" w:hAnsi="仿宋_GB2312" w:eastAsia="仿宋_GB2312" w:cs="仿宋_GB2312"/>
          <w:spacing w:val="1"/>
          <w:sz w:val="32"/>
          <w:szCs w:val="32"/>
          <w:lang w:val="en-US" w:eastAsia="zh-CN"/>
        </w:rPr>
        <w:t>视频</w:t>
      </w:r>
      <w:r>
        <w:rPr>
          <w:rFonts w:hint="eastAsia" w:ascii="仿宋_GB2312" w:hAnsi="仿宋_GB2312" w:eastAsia="仿宋_GB2312" w:cs="仿宋_GB2312"/>
          <w:color w:val="auto"/>
          <w:spacing w:val="1"/>
          <w:sz w:val="32"/>
          <w:szCs w:val="32"/>
          <w:highlight w:val="none"/>
        </w:rPr>
        <w:t>会审</w:t>
      </w:r>
    </w:p>
    <w:p w14:paraId="6305296B">
      <w:pPr>
        <w:ind w:firstLine="564"/>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评审时间：202</w:t>
      </w:r>
      <w:r>
        <w:rPr>
          <w:rFonts w:hint="eastAsia" w:ascii="仿宋_GB2312" w:hAnsi="仿宋_GB2312" w:eastAsia="仿宋_GB2312" w:cs="仿宋_GB2312"/>
          <w:color w:val="auto"/>
          <w:spacing w:val="1"/>
          <w:sz w:val="32"/>
          <w:szCs w:val="32"/>
          <w:lang w:val="en-US" w:eastAsia="zh-CN"/>
        </w:rPr>
        <w:t>5</w:t>
      </w:r>
      <w:r>
        <w:rPr>
          <w:rFonts w:hint="eastAsia" w:ascii="仿宋_GB2312" w:hAnsi="仿宋_GB2312" w:eastAsia="仿宋_GB2312" w:cs="仿宋_GB2312"/>
          <w:color w:val="auto"/>
          <w:spacing w:val="1"/>
          <w:sz w:val="32"/>
          <w:szCs w:val="32"/>
        </w:rPr>
        <w:t>年</w:t>
      </w:r>
      <w:r>
        <w:rPr>
          <w:rFonts w:hint="eastAsia" w:ascii="仿宋_GB2312" w:hAnsi="仿宋_GB2312" w:eastAsia="仿宋_GB2312" w:cs="仿宋_GB2312"/>
          <w:color w:val="auto"/>
          <w:spacing w:val="1"/>
          <w:sz w:val="32"/>
          <w:szCs w:val="32"/>
          <w:lang w:val="en-US" w:eastAsia="zh-CN"/>
        </w:rPr>
        <w:t>9</w:t>
      </w:r>
      <w:r>
        <w:rPr>
          <w:rFonts w:hint="eastAsia" w:ascii="仿宋_GB2312" w:hAnsi="仿宋_GB2312" w:eastAsia="仿宋_GB2312" w:cs="仿宋_GB2312"/>
          <w:color w:val="auto"/>
          <w:spacing w:val="1"/>
          <w:sz w:val="32"/>
          <w:szCs w:val="32"/>
        </w:rPr>
        <w:t>月</w:t>
      </w:r>
      <w:r>
        <w:rPr>
          <w:rFonts w:hint="eastAsia" w:ascii="仿宋_GB2312" w:hAnsi="仿宋_GB2312" w:eastAsia="仿宋_GB2312" w:cs="仿宋_GB2312"/>
          <w:color w:val="auto"/>
          <w:spacing w:val="1"/>
          <w:sz w:val="32"/>
          <w:szCs w:val="32"/>
          <w:lang w:val="en-US" w:eastAsia="zh-CN"/>
        </w:rPr>
        <w:t>11</w:t>
      </w:r>
      <w:r>
        <w:rPr>
          <w:rFonts w:hint="eastAsia" w:ascii="仿宋_GB2312" w:hAnsi="仿宋_GB2312" w:eastAsia="仿宋_GB2312" w:cs="仿宋_GB2312"/>
          <w:color w:val="auto"/>
          <w:spacing w:val="1"/>
          <w:sz w:val="32"/>
          <w:szCs w:val="32"/>
        </w:rPr>
        <w:t>日</w:t>
      </w:r>
    </w:p>
    <w:p w14:paraId="60F82CF6">
      <w:pPr>
        <w:ind w:firstLine="564"/>
        <w:rPr>
          <w:rFonts w:ascii="宋体" w:hAnsi="宋体" w:eastAsia="宋体" w:cs="宋体"/>
          <w:spacing w:val="1"/>
          <w:szCs w:val="28"/>
        </w:rPr>
      </w:pPr>
    </w:p>
    <w:p w14:paraId="0D918A37">
      <w:pPr>
        <w:spacing w:line="204" w:lineRule="auto"/>
        <w:ind w:firstLine="560"/>
        <w:rPr>
          <w:rFonts w:ascii="宋体" w:hAnsi="宋体" w:eastAsia="宋体" w:cs="宋体"/>
          <w:szCs w:val="28"/>
        </w:rPr>
      </w:pPr>
    </w:p>
    <w:p w14:paraId="1621E775">
      <w:pPr>
        <w:ind w:firstLine="560"/>
        <w:rPr>
          <w:rFonts w:ascii="宋体" w:hAnsi="宋体" w:eastAsia="宋体" w:cs="宋体"/>
        </w:rPr>
        <w:sectPr>
          <w:footerReference r:id="rId11" w:type="default"/>
          <w:pgSz w:w="11907" w:h="16839"/>
          <w:pgMar w:top="1431" w:right="1785" w:bottom="1070" w:left="1661" w:header="0" w:footer="875" w:gutter="0"/>
          <w:pgNumType w:fmt="numberInDash" w:start="2"/>
          <w:cols w:space="720" w:num="1"/>
        </w:sectPr>
      </w:pPr>
    </w:p>
    <w:p w14:paraId="3252516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附注：</w:t>
      </w:r>
    </w:p>
    <w:p w14:paraId="567CA4E1">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矿区范围拐点坐标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略</w:t>
      </w:r>
      <w:r>
        <w:rPr>
          <w:rFonts w:hint="eastAsia" w:ascii="仿宋_GB2312" w:hAnsi="仿宋_GB2312" w:eastAsia="仿宋_GB2312" w:cs="仿宋_GB2312"/>
          <w:sz w:val="32"/>
          <w:szCs w:val="32"/>
          <w:lang w:eastAsia="zh-CN"/>
        </w:rPr>
        <w:t>）</w:t>
      </w:r>
    </w:p>
    <w:p w14:paraId="72F7B0B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普查报告</w:t>
      </w:r>
      <w:r>
        <w:rPr>
          <w:rFonts w:hint="eastAsia" w:ascii="仿宋_GB2312" w:hAnsi="仿宋_GB2312" w:eastAsia="仿宋_GB2312" w:cs="仿宋_GB2312"/>
          <w:sz w:val="32"/>
          <w:szCs w:val="32"/>
        </w:rPr>
        <w:t>估算标高为：</w:t>
      </w:r>
      <w:r>
        <w:rPr>
          <w:rFonts w:hint="eastAsia" w:ascii="仿宋_GB2312" w:hAnsi="仿宋_GB2312" w:eastAsia="仿宋_GB2312" w:cs="仿宋_GB2312"/>
          <w:sz w:val="32"/>
          <w:szCs w:val="32"/>
          <w:lang w:val="en-US" w:eastAsia="zh-CN"/>
        </w:rPr>
        <w:t>+272～+292米</w:t>
      </w:r>
      <w:r>
        <w:rPr>
          <w:rFonts w:hint="eastAsia" w:ascii="仿宋_GB2312" w:hAnsi="仿宋_GB2312" w:eastAsia="仿宋_GB2312" w:cs="仿宋_GB2312"/>
          <w:sz w:val="32"/>
          <w:szCs w:val="32"/>
        </w:rPr>
        <w:t>。</w:t>
      </w:r>
    </w:p>
    <w:p w14:paraId="7BF8504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矿区范围内地表最高标高：</w:t>
      </w:r>
      <w:r>
        <w:rPr>
          <w:rFonts w:hint="eastAsia" w:ascii="仿宋_GB2312" w:hAnsi="仿宋_GB2312" w:eastAsia="仿宋_GB2312" w:cs="仿宋_GB2312"/>
          <w:sz w:val="32"/>
          <w:szCs w:val="32"/>
          <w:lang w:val="en-US" w:eastAsia="zh-CN"/>
        </w:rPr>
        <w:t>+292</w:t>
      </w:r>
      <w:r>
        <w:rPr>
          <w:rFonts w:hint="eastAsia" w:ascii="仿宋_GB2312" w:hAnsi="仿宋_GB2312" w:eastAsia="仿宋_GB2312" w:cs="仿宋_GB2312"/>
          <w:sz w:val="32"/>
          <w:szCs w:val="32"/>
        </w:rPr>
        <w:t>米。</w:t>
      </w:r>
    </w:p>
    <w:p w14:paraId="64FDAFC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设计生产规模：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14:textFill>
            <w14:solidFill>
              <w14:schemeClr w14:val="tx1"/>
            </w14:solidFill>
          </w14:textFill>
        </w:rPr>
        <w:t>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立方米</w:t>
      </w:r>
      <w:r>
        <w:rPr>
          <w:rFonts w:hint="eastAsia" w:ascii="仿宋_GB2312" w:hAnsi="仿宋_GB2312" w:eastAsia="仿宋_GB2312" w:cs="仿宋_GB2312"/>
          <w:color w:val="000000" w:themeColor="text1"/>
          <w:sz w:val="32"/>
          <w:szCs w:val="32"/>
          <w14:textFill>
            <w14:solidFill>
              <w14:schemeClr w14:val="tx1"/>
            </w14:solidFill>
          </w14:textFill>
        </w:rPr>
        <w:t>/年。</w:t>
      </w:r>
    </w:p>
    <w:p w14:paraId="6F9C32B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w:t>
      </w:r>
      <w:r>
        <w:rPr>
          <w:rFonts w:hint="eastAsia" w:ascii="仿宋_GB2312" w:hAnsi="仿宋_GB2312" w:eastAsia="仿宋_GB2312" w:cs="仿宋_GB2312"/>
          <w:sz w:val="32"/>
          <w:szCs w:val="32"/>
        </w:rPr>
        <w:t>开采矿种：建筑用砂矿</w:t>
      </w:r>
    </w:p>
    <w:p w14:paraId="09E2DAD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开采服务年限：</w:t>
      </w:r>
      <w:r>
        <w:rPr>
          <w:rFonts w:hint="eastAsia" w:ascii="仿宋_GB2312" w:hAnsi="仿宋_GB2312" w:eastAsia="仿宋_GB2312" w:cs="仿宋_GB2312"/>
          <w:sz w:val="32"/>
          <w:szCs w:val="32"/>
          <w:lang w:val="en-US" w:eastAsia="zh-CN"/>
        </w:rPr>
        <w:t>1.44年（1年6个月）</w:t>
      </w:r>
      <w:r>
        <w:rPr>
          <w:rFonts w:hint="eastAsia" w:ascii="仿宋_GB2312" w:hAnsi="仿宋_GB2312" w:eastAsia="仿宋_GB2312" w:cs="仿宋_GB2312"/>
          <w:color w:val="000000" w:themeColor="text1"/>
          <w:sz w:val="32"/>
          <w:szCs w:val="32"/>
          <w14:textFill>
            <w14:solidFill>
              <w14:schemeClr w14:val="tx1"/>
            </w14:solidFill>
          </w14:textFill>
        </w:rPr>
        <w:t>。</w:t>
      </w:r>
    </w:p>
    <w:p w14:paraId="4534B1D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开采方式与开拓方案：露天台阶式开采方式，</w:t>
      </w:r>
      <w:r>
        <w:rPr>
          <w:rFonts w:hint="eastAsia" w:ascii="仿宋_GB2312" w:hAnsi="仿宋_GB2312" w:eastAsia="仿宋_GB2312" w:cs="仿宋_GB2312"/>
          <w:sz w:val="32"/>
          <w:szCs w:val="32"/>
          <w:lang w:val="en-US" w:eastAsia="zh-CN"/>
        </w:rPr>
        <w:t>汽车</w:t>
      </w:r>
      <w:r>
        <w:rPr>
          <w:rFonts w:hint="eastAsia" w:ascii="仿宋_GB2312" w:hAnsi="仿宋_GB2312" w:eastAsia="仿宋_GB2312" w:cs="仿宋_GB2312"/>
          <w:sz w:val="32"/>
          <w:szCs w:val="32"/>
        </w:rPr>
        <w:t>运输方案。</w:t>
      </w:r>
    </w:p>
    <w:p w14:paraId="603E81F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采矿方法：自上而下、水平分层台阶式开采。</w:t>
      </w:r>
    </w:p>
    <w:p w14:paraId="28275A7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设计回采率9</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%，采矿损失率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0E61E2F1">
      <w:pPr>
        <w:pStyle w:val="16"/>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10.</w:t>
      </w:r>
      <w:r>
        <w:rPr>
          <w:rFonts w:hint="eastAsia" w:ascii="仿宋_GB2312" w:hAnsi="仿宋_GB2312" w:eastAsia="仿宋_GB2312" w:cs="仿宋_GB2312"/>
          <w:sz w:val="32"/>
          <w:szCs w:val="32"/>
        </w:rPr>
        <w:t>矿山在实际采选开发生产建设活动中，要以正式设计单位编制并审核通过的采选等设计为准执行。</w:t>
      </w:r>
    </w:p>
    <w:p w14:paraId="52A3431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firstLine="0" w:firstLineChars="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吐鲁番恒泰矿业有限责任公司鄯善至库米什高速公路项目高昌区4号取料场</w:t>
      </w:r>
      <w:r>
        <w:rPr>
          <w:rFonts w:hint="eastAsia" w:ascii="仿宋_GB2312" w:hAnsi="仿宋_GB2312" w:eastAsia="仿宋_GB2312" w:cs="仿宋_GB2312"/>
          <w:sz w:val="32"/>
          <w:szCs w:val="32"/>
        </w:rPr>
        <w:t>矿产资源开发利用与生态保护修复方案》专家审查意见</w:t>
      </w:r>
    </w:p>
    <w:p w14:paraId="7F12E363">
      <w:pPr>
        <w:spacing w:line="480" w:lineRule="exact"/>
        <w:ind w:left="280" w:hanging="280" w:hangingChars="100"/>
        <w:rPr>
          <w:rFonts w:hint="eastAsia" w:ascii="仿宋_GB2312" w:hAnsi="仿宋_GB2312" w:eastAsia="仿宋_GB2312" w:cs="仿宋_GB2312"/>
          <w:sz w:val="28"/>
          <w:szCs w:val="28"/>
        </w:rPr>
      </w:pPr>
    </w:p>
    <w:p w14:paraId="6926DEAE">
      <w:pPr>
        <w:pStyle w:val="16"/>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  送：吐鲁番恒泰矿业有限责任公司</w:t>
      </w:r>
    </w:p>
    <w:p w14:paraId="5A4F52E4">
      <w:pPr>
        <w:pStyle w:val="16"/>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抄  送：</w:t>
      </w:r>
      <w:r>
        <w:rPr>
          <w:rFonts w:hint="eastAsia" w:ascii="仿宋_GB2312" w:hAnsi="仿宋_GB2312" w:eastAsia="仿宋_GB2312" w:cs="仿宋_GB2312"/>
          <w:sz w:val="32"/>
          <w:szCs w:val="32"/>
          <w:lang w:val="en-US" w:eastAsia="zh-CN"/>
        </w:rPr>
        <w:t>吐鲁番市</w:t>
      </w:r>
      <w:r>
        <w:rPr>
          <w:rFonts w:hint="eastAsia" w:ascii="仿宋_GB2312" w:hAnsi="仿宋_GB2312" w:eastAsia="仿宋_GB2312" w:cs="仿宋_GB2312"/>
          <w:sz w:val="32"/>
          <w:szCs w:val="32"/>
          <w:lang w:eastAsia="zh-CN"/>
        </w:rPr>
        <w:t>自然资源局</w:t>
      </w:r>
    </w:p>
    <w:p w14:paraId="00F989C7">
      <w:pPr>
        <w:pStyle w:val="16"/>
        <w:keepNext w:val="0"/>
        <w:keepLines w:val="0"/>
        <w:pageBreakBefore w:val="0"/>
        <w:widowControl/>
        <w:kinsoku w:val="0"/>
        <w:wordWrap/>
        <w:overflowPunct/>
        <w:topLinePunct w:val="0"/>
        <w:autoSpaceDE w:val="0"/>
        <w:autoSpaceDN w:val="0"/>
        <w:bidi w:val="0"/>
        <w:adjustRightInd w:val="0"/>
        <w:snapToGrid w:val="0"/>
        <w:spacing w:after="0" w:line="500" w:lineRule="exact"/>
        <w:ind w:left="0" w:lef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印  数：12份</w:t>
      </w:r>
    </w:p>
    <w:p w14:paraId="3EFE3103">
      <w:pPr>
        <w:spacing w:line="520" w:lineRule="exact"/>
        <w:ind w:firstLine="560"/>
        <w:rPr>
          <w:rFonts w:hint="eastAsia" w:ascii="仿宋_GB2312" w:hAnsi="仿宋_GB2312" w:eastAsia="仿宋_GB2312" w:cs="仿宋_GB2312"/>
          <w:color w:val="FF0000"/>
          <w:sz w:val="28"/>
          <w:szCs w:val="28"/>
        </w:rPr>
        <w:sectPr>
          <w:footerReference r:id="rId12" w:type="default"/>
          <w:pgSz w:w="11906" w:h="16838"/>
          <w:pgMar w:top="1871" w:right="1800" w:bottom="1757" w:left="1531" w:header="720" w:footer="720" w:gutter="0"/>
          <w:pgNumType w:fmt="numberInDash"/>
          <w:cols w:space="720" w:num="1"/>
        </w:sectPr>
      </w:pPr>
    </w:p>
    <w:p w14:paraId="752A6C4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方正小标宋简体" w:hAnsi="方正小标宋简体" w:eastAsia="方正小标宋简体" w:cs="方正粗黑宋简体"/>
          <w:b w:val="0"/>
          <w:bCs/>
          <w:sz w:val="44"/>
          <w:szCs w:val="44"/>
        </w:rPr>
      </w:pPr>
      <w:r>
        <w:rPr>
          <w:rFonts w:hint="eastAsia" w:ascii="方正小标宋简体" w:hAnsi="方正小标宋简体" w:eastAsia="方正小标宋简体" w:cs="方正粗黑宋简体"/>
          <w:b w:val="0"/>
          <w:bCs/>
          <w:sz w:val="44"/>
          <w:szCs w:val="44"/>
        </w:rPr>
        <w:t>《</w:t>
      </w:r>
      <w:r>
        <w:rPr>
          <w:rFonts w:hint="eastAsia" w:ascii="方正小标宋简体" w:hAnsi="方正小标宋简体" w:eastAsia="方正小标宋简体" w:cs="方正粗黑宋简体"/>
          <w:b w:val="0"/>
          <w:bCs/>
          <w:sz w:val="44"/>
          <w:szCs w:val="44"/>
          <w:lang w:eastAsia="zh-CN"/>
        </w:rPr>
        <w:t>吐鲁番恒泰矿业有限责任公司鄯善至库米什高速公路项目高昌区4号取料场</w:t>
      </w:r>
      <w:r>
        <w:rPr>
          <w:rFonts w:hint="eastAsia" w:ascii="方正小标宋简体" w:hAnsi="方正小标宋简体" w:eastAsia="方正小标宋简体" w:cs="方正粗黑宋简体"/>
          <w:b w:val="0"/>
          <w:bCs/>
          <w:sz w:val="44"/>
          <w:szCs w:val="44"/>
        </w:rPr>
        <w:t>矿产资源</w:t>
      </w:r>
    </w:p>
    <w:p w14:paraId="248892F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方正小标宋简体" w:hAnsi="方正小标宋简体" w:eastAsia="方正小标宋简体" w:cs="方正粗黑宋简体"/>
          <w:b w:val="0"/>
          <w:bCs/>
          <w:sz w:val="44"/>
          <w:szCs w:val="44"/>
        </w:rPr>
      </w:pPr>
      <w:r>
        <w:rPr>
          <w:rFonts w:hint="eastAsia" w:ascii="方正小标宋简体" w:hAnsi="方正小标宋简体" w:eastAsia="方正小标宋简体" w:cs="方正粗黑宋简体"/>
          <w:b w:val="0"/>
          <w:bCs/>
          <w:sz w:val="44"/>
          <w:szCs w:val="44"/>
        </w:rPr>
        <w:t>开发利用与生态保护修复方案》</w:t>
      </w:r>
    </w:p>
    <w:p w14:paraId="0737361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方正粗黑宋简体" w:hAnsi="方正粗黑宋简体" w:eastAsia="方正粗黑宋简体" w:cs="方正粗黑宋简体"/>
          <w:b w:val="0"/>
          <w:bCs/>
          <w:sz w:val="44"/>
          <w:szCs w:val="44"/>
        </w:rPr>
      </w:pPr>
      <w:r>
        <w:rPr>
          <w:rFonts w:hint="eastAsia" w:ascii="方正小标宋简体" w:hAnsi="方正小标宋简体" w:eastAsia="方正小标宋简体" w:cs="方正粗黑宋简体"/>
          <w:b w:val="0"/>
          <w:bCs/>
          <w:sz w:val="44"/>
          <w:szCs w:val="44"/>
        </w:rPr>
        <w:t>专家审查意见</w:t>
      </w:r>
    </w:p>
    <w:p w14:paraId="2601BA45">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textAlignment w:val="baseline"/>
        <w:rPr>
          <w:rFonts w:hint="eastAsia" w:ascii="仿宋_GB2312" w:hAnsi="仿宋_GB2312" w:eastAsia="仿宋_GB2312" w:cs="仿宋_GB2312"/>
          <w:color w:val="auto"/>
          <w:sz w:val="18"/>
          <w:szCs w:val="18"/>
        </w:rPr>
      </w:pPr>
      <w:bookmarkStart w:id="2" w:name="_Hlk100067958"/>
    </w:p>
    <w:p w14:paraId="394FF5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吐鲁番恒泰矿业有限责任公司鄯善至库米什高速公路项目高昌区4号取料场</w:t>
      </w:r>
      <w:r>
        <w:rPr>
          <w:rFonts w:hint="eastAsia" w:ascii="仿宋_GB2312" w:hAnsi="仿宋_GB2312" w:eastAsia="仿宋_GB2312" w:cs="仿宋_GB2312"/>
          <w:color w:val="auto"/>
          <w:sz w:val="32"/>
          <w:szCs w:val="32"/>
        </w:rPr>
        <w:t>矿产资源开发利用与生态保护修复方案》</w:t>
      </w:r>
      <w:bookmarkEnd w:id="2"/>
      <w:r>
        <w:rPr>
          <w:rFonts w:hint="eastAsia" w:ascii="仿宋_GB2312" w:hAnsi="仿宋_GB2312" w:eastAsia="仿宋_GB2312" w:cs="仿宋_GB2312"/>
          <w:color w:val="auto"/>
          <w:sz w:val="32"/>
          <w:szCs w:val="32"/>
        </w:rPr>
        <w:t>（以下简称</w:t>
      </w:r>
      <w:bookmarkStart w:id="3" w:name="_Hlk91835451"/>
      <w:r>
        <w:rPr>
          <w:rFonts w:hint="eastAsia" w:ascii="仿宋_GB2312" w:hAnsi="仿宋_GB2312" w:eastAsia="仿宋_GB2312" w:cs="仿宋_GB2312"/>
          <w:color w:val="auto"/>
          <w:sz w:val="32"/>
          <w:szCs w:val="32"/>
        </w:rPr>
        <w:t>《方案》</w:t>
      </w:r>
      <w:bookmarkEnd w:id="3"/>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新疆智耀土地规划咨询有限公司</w:t>
      </w:r>
      <w:r>
        <w:rPr>
          <w:rFonts w:hint="eastAsia" w:ascii="仿宋_GB2312" w:hAnsi="仿宋_GB2312" w:eastAsia="仿宋_GB2312" w:cs="仿宋_GB2312"/>
          <w:color w:val="auto"/>
          <w:sz w:val="32"/>
          <w:szCs w:val="32"/>
        </w:rPr>
        <w:t>编制完成。</w:t>
      </w:r>
      <w:bookmarkStart w:id="4" w:name="_Hlk44344406"/>
      <w:r>
        <w:rPr>
          <w:rFonts w:hint="eastAsia" w:ascii="仿宋_GB2312" w:hAnsi="仿宋_GB2312" w:eastAsia="仿宋_GB2312" w:cs="仿宋_GB2312"/>
          <w:sz w:val="32"/>
          <w:szCs w:val="32"/>
          <w:lang w:val="en-US" w:eastAsia="zh-CN"/>
        </w:rPr>
        <w:t>吐鲁番市自然资源局高昌区分局</w:t>
      </w:r>
      <w:bookmarkEnd w:id="4"/>
      <w:r>
        <w:rPr>
          <w:rFonts w:hint="eastAsia" w:ascii="仿宋_GB2312" w:hAnsi="仿宋_GB2312" w:eastAsia="仿宋_GB2312" w:cs="仿宋_GB2312"/>
          <w:sz w:val="32"/>
          <w:szCs w:val="32"/>
        </w:rPr>
        <w:t>组织有关专家对该《方案》进行</w:t>
      </w:r>
      <w:r>
        <w:rPr>
          <w:rFonts w:hint="eastAsia" w:ascii="仿宋_GB2312" w:hAnsi="仿宋_GB2312" w:eastAsia="仿宋_GB2312" w:cs="仿宋_GB2312"/>
          <w:color w:val="auto"/>
          <w:spacing w:val="1"/>
          <w:sz w:val="32"/>
          <w:szCs w:val="32"/>
          <w:highlight w:val="none"/>
          <w:lang w:val="en-US" w:eastAsia="zh-CN"/>
        </w:rPr>
        <w:t>线上</w:t>
      </w:r>
      <w:r>
        <w:rPr>
          <w:rFonts w:hint="eastAsia" w:ascii="仿宋_GB2312" w:hAnsi="仿宋_GB2312" w:eastAsia="仿宋_GB2312" w:cs="仿宋_GB2312"/>
          <w:sz w:val="32"/>
          <w:szCs w:val="32"/>
        </w:rPr>
        <w:t>会审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1"/>
          <w:sz w:val="32"/>
          <w:szCs w:val="32"/>
        </w:rPr>
        <w:t>202</w:t>
      </w:r>
      <w:r>
        <w:rPr>
          <w:rFonts w:hint="eastAsia" w:ascii="仿宋_GB2312" w:hAnsi="仿宋_GB2312" w:eastAsia="仿宋_GB2312" w:cs="仿宋_GB2312"/>
          <w:color w:val="auto"/>
          <w:spacing w:val="1"/>
          <w:sz w:val="32"/>
          <w:szCs w:val="32"/>
          <w:lang w:val="en-US" w:eastAsia="zh-CN"/>
        </w:rPr>
        <w:t>5</w:t>
      </w:r>
      <w:r>
        <w:rPr>
          <w:rFonts w:hint="eastAsia" w:ascii="仿宋_GB2312" w:hAnsi="仿宋_GB2312" w:eastAsia="仿宋_GB2312" w:cs="仿宋_GB2312"/>
          <w:color w:val="auto"/>
          <w:spacing w:val="1"/>
          <w:sz w:val="32"/>
          <w:szCs w:val="32"/>
        </w:rPr>
        <w:t>年</w:t>
      </w:r>
      <w:r>
        <w:rPr>
          <w:rFonts w:hint="eastAsia" w:ascii="仿宋_GB2312" w:hAnsi="仿宋_GB2312" w:eastAsia="仿宋_GB2312" w:cs="仿宋_GB2312"/>
          <w:color w:val="auto"/>
          <w:spacing w:val="1"/>
          <w:sz w:val="32"/>
          <w:szCs w:val="32"/>
          <w:lang w:val="en-US" w:eastAsia="zh-CN"/>
        </w:rPr>
        <w:t>9</w:t>
      </w:r>
      <w:r>
        <w:rPr>
          <w:rFonts w:hint="eastAsia" w:ascii="仿宋_GB2312" w:hAnsi="仿宋_GB2312" w:eastAsia="仿宋_GB2312" w:cs="仿宋_GB2312"/>
          <w:color w:val="auto"/>
          <w:spacing w:val="1"/>
          <w:sz w:val="32"/>
          <w:szCs w:val="32"/>
        </w:rPr>
        <w:t>月</w:t>
      </w:r>
      <w:r>
        <w:rPr>
          <w:rFonts w:hint="eastAsia" w:ascii="仿宋_GB2312" w:hAnsi="仿宋_GB2312" w:eastAsia="仿宋_GB2312" w:cs="仿宋_GB2312"/>
          <w:color w:val="auto"/>
          <w:spacing w:val="1"/>
          <w:sz w:val="32"/>
          <w:szCs w:val="32"/>
          <w:lang w:val="en-US" w:eastAsia="zh-CN"/>
        </w:rPr>
        <w:t>11</w:t>
      </w:r>
      <w:r>
        <w:rPr>
          <w:rFonts w:hint="eastAsia" w:ascii="仿宋_GB2312" w:hAnsi="仿宋_GB2312" w:eastAsia="仿宋_GB2312" w:cs="仿宋_GB2312"/>
          <w:color w:val="auto"/>
          <w:spacing w:val="1"/>
          <w:sz w:val="32"/>
          <w:szCs w:val="32"/>
        </w:rPr>
        <w:t>日，吐鲁番市自然资源局高昌区分局聘请了采矿、地环、</w:t>
      </w:r>
      <w:r>
        <w:rPr>
          <w:rFonts w:hint="eastAsia" w:ascii="仿宋_GB2312" w:hAnsi="仿宋_GB2312" w:eastAsia="仿宋_GB2312" w:cs="仿宋_GB2312"/>
          <w:color w:val="auto"/>
          <w:spacing w:val="1"/>
          <w:sz w:val="32"/>
          <w:szCs w:val="32"/>
          <w:lang w:val="en-US" w:eastAsia="zh-CN"/>
        </w:rPr>
        <w:t>经济</w:t>
      </w:r>
      <w:r>
        <w:rPr>
          <w:rFonts w:hint="eastAsia" w:ascii="仿宋_GB2312" w:hAnsi="仿宋_GB2312" w:eastAsia="仿宋_GB2312" w:cs="仿宋_GB2312"/>
          <w:spacing w:val="1"/>
          <w:sz w:val="32"/>
          <w:szCs w:val="32"/>
        </w:rPr>
        <w:t>等专业的专家组成专家组</w:t>
      </w:r>
      <w:r>
        <w:rPr>
          <w:rFonts w:hint="eastAsia" w:ascii="仿宋_GB2312" w:hAnsi="仿宋_GB2312" w:eastAsia="仿宋_GB2312" w:cs="仿宋_GB2312"/>
          <w:color w:val="auto"/>
          <w:spacing w:val="1"/>
          <w:sz w:val="32"/>
          <w:szCs w:val="32"/>
        </w:rPr>
        <w:t>（名单附后）在</w:t>
      </w:r>
      <w:r>
        <w:rPr>
          <w:rFonts w:hint="eastAsia" w:ascii="仿宋_GB2312" w:hAnsi="仿宋_GB2312" w:eastAsia="仿宋_GB2312" w:cs="仿宋_GB2312"/>
          <w:color w:val="auto"/>
          <w:spacing w:val="1"/>
          <w:sz w:val="32"/>
          <w:szCs w:val="32"/>
          <w:lang w:val="en-US" w:eastAsia="zh-CN"/>
        </w:rPr>
        <w:t>腾讯会议</w:t>
      </w:r>
      <w:r>
        <w:rPr>
          <w:rFonts w:hint="eastAsia" w:ascii="仿宋_GB2312" w:hAnsi="仿宋_GB2312" w:eastAsia="仿宋_GB2312" w:cs="仿宋_GB2312"/>
          <w:color w:val="auto"/>
          <w:spacing w:val="1"/>
          <w:sz w:val="32"/>
          <w:szCs w:val="32"/>
        </w:rPr>
        <w:t>进行了</w:t>
      </w:r>
      <w:r>
        <w:rPr>
          <w:rFonts w:hint="eastAsia" w:ascii="仿宋_GB2312" w:hAnsi="仿宋_GB2312" w:eastAsia="仿宋_GB2312" w:cs="仿宋_GB2312"/>
          <w:color w:val="auto"/>
          <w:spacing w:val="1"/>
          <w:sz w:val="32"/>
          <w:szCs w:val="32"/>
          <w:lang w:val="en-US" w:eastAsia="zh-CN"/>
        </w:rPr>
        <w:t>线上</w:t>
      </w:r>
      <w:r>
        <w:rPr>
          <w:rFonts w:hint="eastAsia" w:ascii="仿宋_GB2312" w:hAnsi="仿宋_GB2312" w:eastAsia="仿宋_GB2312" w:cs="仿宋_GB2312"/>
          <w:color w:val="auto"/>
          <w:spacing w:val="1"/>
          <w:sz w:val="32"/>
          <w:szCs w:val="32"/>
        </w:rPr>
        <w:t>会审。该《</w:t>
      </w:r>
      <w:r>
        <w:rPr>
          <w:rFonts w:hint="eastAsia" w:ascii="仿宋_GB2312" w:hAnsi="仿宋_GB2312" w:eastAsia="仿宋_GB2312" w:cs="仿宋_GB2312"/>
          <w:spacing w:val="1"/>
          <w:sz w:val="32"/>
          <w:szCs w:val="32"/>
        </w:rPr>
        <w:t>方案》经专家组充分讨论和评议，提出了修改意见。会后，编制单位对《方案》进行修改完善，经专家组复核，《方案》符合规范要求，现形成评审意见如下：</w:t>
      </w:r>
    </w:p>
    <w:p w14:paraId="43873BE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38"/>
        <w:jc w:val="left"/>
        <w:textAlignment w:val="baseline"/>
        <w:outlineLvl w:val="0"/>
        <w:rPr>
          <w:rFonts w:hint="eastAsia" w:ascii="黑体" w:hAnsi="黑体" w:eastAsia="黑体" w:cs="黑体"/>
          <w:b w:val="0"/>
          <w:bCs w:val="0"/>
          <w:color w:val="auto"/>
          <w:spacing w:val="-3"/>
          <w:sz w:val="32"/>
          <w:szCs w:val="32"/>
        </w:rPr>
      </w:pPr>
      <w:r>
        <w:rPr>
          <w:rFonts w:hint="eastAsia" w:ascii="黑体" w:hAnsi="黑体" w:eastAsia="黑体" w:cs="黑体"/>
          <w:b w:val="0"/>
          <w:bCs w:val="0"/>
          <w:color w:val="auto"/>
          <w:spacing w:val="-6"/>
          <w:sz w:val="32"/>
          <w:szCs w:val="32"/>
        </w:rPr>
        <w:t>一、采矿权基本情况及编制目的</w:t>
      </w:r>
    </w:p>
    <w:p w14:paraId="3DC2DA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吐鲁番恒泰矿业有限责任公司鄯善至库米什高速公路项目高昌区4号取料场隶属于吐鲁番恒泰矿业有限责任公司，本矿山属于</w:t>
      </w:r>
      <w:r>
        <w:rPr>
          <w:rFonts w:hint="eastAsia" w:ascii="仿宋_GB2312" w:hAnsi="仿宋_GB2312" w:eastAsia="仿宋_GB2312" w:cs="仿宋_GB2312"/>
          <w:sz w:val="32"/>
          <w:szCs w:val="32"/>
          <w:lang w:val="en-US" w:eastAsia="zh-CN"/>
        </w:rPr>
        <w:t>延续变更</w:t>
      </w:r>
      <w:r>
        <w:rPr>
          <w:rFonts w:hint="eastAsia" w:ascii="仿宋_GB2312" w:hAnsi="仿宋_GB2312" w:eastAsia="仿宋_GB2312" w:cs="仿宋_GB2312"/>
          <w:sz w:val="32"/>
          <w:szCs w:val="32"/>
          <w:lang w:eastAsia="zh-CN"/>
        </w:rPr>
        <w:t>矿山，矿区由</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个坐标拐点组成，面积0.4558平方千米。开采矿种为建筑用砂矿，露天开采方式，开采标高：</w:t>
      </w:r>
      <w:r>
        <w:rPr>
          <w:rFonts w:hint="eastAsia" w:ascii="仿宋_GB2312" w:hAnsi="仿宋_GB2312" w:eastAsia="仿宋_GB2312" w:cs="仿宋_GB2312"/>
          <w:sz w:val="32"/>
          <w:szCs w:val="32"/>
          <w:lang w:val="en-US" w:eastAsia="zh-CN"/>
        </w:rPr>
        <w:t>+272～+292m</w:t>
      </w:r>
      <w:r>
        <w:rPr>
          <w:rFonts w:hint="eastAsia" w:ascii="仿宋_GB2312" w:hAnsi="仿宋_GB2312" w:eastAsia="仿宋_GB2312" w:cs="仿宋_GB2312"/>
          <w:sz w:val="32"/>
          <w:szCs w:val="32"/>
          <w:lang w:eastAsia="zh-CN"/>
        </w:rPr>
        <w:t>，生产规模为</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lang w:val="en-US" w:eastAsia="zh-CN"/>
        </w:rPr>
        <w:t>立方米</w:t>
      </w:r>
      <w:r>
        <w:rPr>
          <w:rFonts w:hint="eastAsia" w:ascii="仿宋_GB2312" w:hAnsi="仿宋_GB2312" w:eastAsia="仿宋_GB2312" w:cs="仿宋_GB2312"/>
          <w:sz w:val="32"/>
          <w:szCs w:val="32"/>
          <w:lang w:eastAsia="zh-CN"/>
        </w:rPr>
        <w:t>/年。</w:t>
      </w:r>
    </w:p>
    <w:p w14:paraId="196A4F0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color w:val="auto"/>
          <w:sz w:val="32"/>
          <w:szCs w:val="32"/>
        </w:rPr>
        <w:t>本次设计编制</w:t>
      </w:r>
      <w:bookmarkStart w:id="5" w:name="_Hlk91836438"/>
      <w:r>
        <w:rPr>
          <w:rFonts w:hint="eastAsia" w:ascii="仿宋_GB2312" w:hAnsi="仿宋_GB2312" w:eastAsia="仿宋_GB2312" w:cs="仿宋_GB2312"/>
          <w:color w:val="auto"/>
          <w:sz w:val="32"/>
          <w:szCs w:val="32"/>
        </w:rPr>
        <w:t>《方案</w:t>
      </w:r>
      <w:r>
        <w:rPr>
          <w:rFonts w:hint="eastAsia" w:ascii="仿宋_GB2312" w:hAnsi="仿宋_GB2312" w:eastAsia="仿宋_GB2312" w:cs="仿宋_GB2312"/>
          <w:color w:val="auto"/>
          <w:sz w:val="32"/>
          <w:szCs w:val="32"/>
          <w:lang w:eastAsia="zh-CN"/>
        </w:rPr>
        <w:t>》的</w:t>
      </w:r>
      <w:bookmarkEnd w:id="5"/>
      <w:r>
        <w:rPr>
          <w:rFonts w:hint="eastAsia" w:ascii="仿宋_GB2312" w:hAnsi="仿宋_GB2312" w:eastAsia="仿宋_GB2312" w:cs="仿宋_GB2312"/>
          <w:color w:val="auto"/>
          <w:sz w:val="32"/>
          <w:szCs w:val="32"/>
        </w:rPr>
        <w:t>目的：</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办理采矿许可证</w:t>
      </w:r>
      <w:r>
        <w:rPr>
          <w:rFonts w:hint="eastAsia" w:ascii="仿宋_GB2312" w:hAnsi="仿宋_GB2312" w:eastAsia="仿宋_GB2312" w:cs="仿宋_GB2312"/>
          <w:sz w:val="32"/>
          <w:szCs w:val="32"/>
        </w:rPr>
        <w:t>；为本矿山的采矿权出让收益评估、矿产资源开发利用、环境评价提供依据；为自然资源部门对矿山开采依法进行监管提供技术依据；在确保技术可行的前提下，尽量做到持续稳产；方案采用成熟先进的工艺和设备，以提高劳动生产率，降低成本；为矿山企业实施矿山地质环境保护、治理和监测及土地复垦提供技术依据，将矿山企业的生态保护修复工作目标、任务、措施和计划等落到实处；为矿山生态保护修复工作的实施管理、监督检查以及生态保护修复基金的计提等提供依据，为自然资源</w:t>
      </w:r>
      <w:bookmarkStart w:id="18" w:name="_GoBack"/>
      <w:bookmarkEnd w:id="18"/>
      <w:r>
        <w:rPr>
          <w:rFonts w:hint="eastAsia" w:ascii="仿宋_GB2312" w:hAnsi="仿宋_GB2312" w:eastAsia="仿宋_GB2312" w:cs="仿宋_GB2312"/>
          <w:sz w:val="32"/>
          <w:szCs w:val="32"/>
        </w:rPr>
        <w:t>部门监督、检查、督促矿山企业落实矿山地质环境保护与土地复垦责任义务提供重要依据；使矿山开采造成的地质环境破坏得以有效恢复，使被损毁的土地恢复并达到最佳综合效益的状态，努力实现社会经济、生态环境的可持续发展。</w:t>
      </w:r>
    </w:p>
    <w:p w14:paraId="55DAF5F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38"/>
        <w:jc w:val="left"/>
        <w:textAlignment w:val="baseline"/>
        <w:outlineLvl w:val="0"/>
        <w:rPr>
          <w:rFonts w:hint="eastAsia" w:ascii="黑体" w:hAnsi="黑体" w:eastAsia="黑体" w:cs="黑体"/>
          <w:b w:val="0"/>
          <w:bCs w:val="0"/>
          <w:color w:val="auto"/>
          <w:spacing w:val="-6"/>
          <w:sz w:val="32"/>
          <w:szCs w:val="32"/>
        </w:rPr>
      </w:pPr>
      <w:r>
        <w:rPr>
          <w:rFonts w:hint="eastAsia" w:ascii="黑体" w:hAnsi="黑体" w:eastAsia="黑体" w:cs="黑体"/>
          <w:b w:val="0"/>
          <w:bCs w:val="0"/>
          <w:color w:val="auto"/>
          <w:spacing w:val="-6"/>
          <w:sz w:val="32"/>
          <w:szCs w:val="32"/>
        </w:rPr>
        <w:t>二、资源储量转换及其评述</w:t>
      </w:r>
    </w:p>
    <w:p w14:paraId="39839AD7">
      <w:pPr>
        <w:pStyle w:val="16"/>
        <w:keepNext w:val="0"/>
        <w:keepLines w:val="0"/>
        <w:pageBreakBefore w:val="0"/>
        <w:widowControl w:val="0"/>
        <w:kinsoku w:val="0"/>
        <w:wordWrap/>
        <w:overflowPunct/>
        <w:topLinePunct w:val="0"/>
        <w:autoSpaceDE w:val="0"/>
        <w:autoSpaceDN w:val="0"/>
        <w:bidi w:val="0"/>
        <w:adjustRightInd w:val="0"/>
        <w:snapToGrid w:val="0"/>
        <w:spacing w:after="0" w:line="560" w:lineRule="exact"/>
        <w:ind w:left="0" w:leftChars="0" w:firstLine="56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（一）设计利用资源量</w:t>
      </w:r>
    </w:p>
    <w:p w14:paraId="29E3D88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根据《吐鲁番恒泰矿业有限责任公司鄯善至库米什高速公路项目高昌区4号取料场</w:t>
      </w:r>
      <w:r>
        <w:rPr>
          <w:rFonts w:hint="eastAsia" w:ascii="仿宋_GB2312" w:hAnsi="仿宋_GB2312" w:eastAsia="仿宋_GB2312" w:cs="仿宋_GB2312"/>
          <w:color w:val="auto"/>
          <w:sz w:val="32"/>
          <w:szCs w:val="32"/>
          <w:lang w:val="en-US" w:eastAsia="zh-CN"/>
        </w:rPr>
        <w:t>普查报告</w:t>
      </w:r>
      <w:r>
        <w:rPr>
          <w:rFonts w:hint="eastAsia" w:ascii="仿宋_GB2312" w:hAnsi="仿宋_GB2312" w:eastAsia="仿宋_GB2312" w:cs="仿宋_GB2312"/>
          <w:color w:val="auto"/>
          <w:sz w:val="32"/>
          <w:szCs w:val="32"/>
          <w:lang w:eastAsia="zh-CN"/>
        </w:rPr>
        <w:t>》矿产资源储量评审意见书（</w:t>
      </w:r>
      <w:r>
        <w:rPr>
          <w:rFonts w:hint="eastAsia" w:ascii="仿宋_GB2312" w:hAnsi="仿宋_GB2312" w:eastAsia="仿宋_GB2312" w:cs="仿宋_GB2312"/>
          <w:color w:val="auto"/>
          <w:sz w:val="32"/>
          <w:szCs w:val="32"/>
          <w:lang w:val="en-US" w:eastAsia="zh-CN"/>
        </w:rPr>
        <w:t>吐市高区自然资储评〔2025〕6号</w:t>
      </w:r>
      <w:r>
        <w:rPr>
          <w:rFonts w:hint="eastAsia" w:ascii="仿宋_GB2312" w:hAnsi="仿宋_GB2312" w:eastAsia="仿宋_GB2312" w:cs="仿宋_GB2312"/>
          <w:color w:val="auto"/>
          <w:sz w:val="32"/>
          <w:szCs w:val="32"/>
          <w:lang w:eastAsia="zh-CN"/>
        </w:rPr>
        <w:t>），截止时间为202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日，矿区范围内查明：</w:t>
      </w:r>
      <w:r>
        <w:rPr>
          <w:rFonts w:hint="eastAsia" w:ascii="仿宋_GB2312" w:hAnsi="仿宋_GB2312" w:eastAsia="仿宋_GB2312" w:cs="仿宋_GB2312"/>
          <w:color w:val="auto"/>
          <w:sz w:val="32"/>
          <w:szCs w:val="32"/>
          <w:lang w:val="en-US" w:eastAsia="zh-CN"/>
        </w:rPr>
        <w:t>控制</w:t>
      </w:r>
      <w:r>
        <w:rPr>
          <w:rFonts w:hint="eastAsia" w:ascii="仿宋_GB2312" w:hAnsi="仿宋_GB2312" w:eastAsia="仿宋_GB2312" w:cs="仿宋_GB2312"/>
          <w:color w:val="auto"/>
          <w:sz w:val="32"/>
          <w:szCs w:val="32"/>
          <w:lang w:eastAsia="zh-CN"/>
        </w:rPr>
        <w:t>资源量</w:t>
      </w:r>
      <w:r>
        <w:rPr>
          <w:rFonts w:hint="eastAsia" w:ascii="仿宋_GB2312" w:hAnsi="仿宋_GB2312" w:eastAsia="仿宋_GB2312" w:cs="仿宋_GB2312"/>
          <w:color w:val="auto"/>
          <w:sz w:val="32"/>
          <w:szCs w:val="32"/>
          <w:lang w:val="en-US" w:eastAsia="zh-CN"/>
        </w:rPr>
        <w:t>176.39</w:t>
      </w:r>
      <w:r>
        <w:rPr>
          <w:rFonts w:hint="eastAsia" w:ascii="仿宋_GB2312" w:hAnsi="仿宋_GB2312" w:eastAsia="仿宋_GB2312" w:cs="仿宋_GB2312"/>
          <w:color w:val="auto"/>
          <w:sz w:val="32"/>
          <w:szCs w:val="32"/>
          <w:lang w:eastAsia="zh-CN"/>
        </w:rPr>
        <w:t>万立方米。</w:t>
      </w:r>
    </w:p>
    <w:p w14:paraId="13D14DB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确定本次方案设计利用的资源量为矿区范围内</w:t>
      </w:r>
      <w:r>
        <w:rPr>
          <w:rFonts w:hint="eastAsia" w:ascii="仿宋_GB2312" w:hAnsi="仿宋_GB2312" w:eastAsia="仿宋_GB2312" w:cs="仿宋_GB2312"/>
          <w:color w:val="auto"/>
          <w:sz w:val="32"/>
          <w:szCs w:val="32"/>
          <w:lang w:eastAsia="zh-CN"/>
        </w:rPr>
        <w:t>截至202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经评审备案的全部保有资源量。</w:t>
      </w:r>
    </w:p>
    <w:p w14:paraId="3A8491C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（二）可采资源储量</w:t>
      </w:r>
    </w:p>
    <w:p w14:paraId="23F75A0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按照矿区范围，根据矿体赋存情况、地形条件、选取合理的开采境界参数圈定开采境界，矿区范围内共圈定</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个开采境界。开采境界内（推断资源量）：矿石资源量为</w:t>
      </w:r>
      <w:r>
        <w:rPr>
          <w:rFonts w:hint="eastAsia" w:ascii="仿宋_GB2312" w:hAnsi="仿宋_GB2312" w:eastAsia="仿宋_GB2312" w:cs="仿宋_GB2312"/>
          <w:color w:val="auto"/>
          <w:sz w:val="32"/>
          <w:szCs w:val="32"/>
          <w:lang w:val="en-US" w:eastAsia="zh-CN"/>
        </w:rPr>
        <w:t>176.39</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eastAsia="zh-CN"/>
        </w:rPr>
        <w:t>立方米</w:t>
      </w:r>
      <w:r>
        <w:rPr>
          <w:rFonts w:hint="eastAsia" w:ascii="仿宋_GB2312" w:hAnsi="仿宋_GB2312" w:eastAsia="仿宋_GB2312" w:cs="仿宋_GB2312"/>
          <w:color w:val="auto"/>
          <w:sz w:val="32"/>
          <w:szCs w:val="32"/>
        </w:rPr>
        <w:t>。</w:t>
      </w:r>
    </w:p>
    <w:p w14:paraId="473FDEA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矿区范围内可采资源量为：矿石量</w:t>
      </w:r>
      <w:r>
        <w:rPr>
          <w:rFonts w:hint="eastAsia" w:ascii="仿宋_GB2312" w:hAnsi="仿宋_GB2312" w:eastAsia="仿宋_GB2312" w:cs="仿宋_GB2312"/>
          <w:color w:val="auto"/>
          <w:sz w:val="32"/>
          <w:szCs w:val="32"/>
          <w:lang w:val="en-US" w:eastAsia="zh-CN"/>
        </w:rPr>
        <w:t>172.86</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eastAsia="zh-CN"/>
        </w:rPr>
        <w:t>立方米</w:t>
      </w:r>
      <w:r>
        <w:rPr>
          <w:rFonts w:hint="eastAsia" w:ascii="仿宋_GB2312" w:hAnsi="仿宋_GB2312" w:eastAsia="仿宋_GB2312" w:cs="仿宋_GB2312"/>
          <w:color w:val="auto"/>
          <w:sz w:val="32"/>
          <w:szCs w:val="32"/>
          <w:lang w:val="en-US" w:eastAsia="zh-CN"/>
        </w:rPr>
        <w:t>。</w:t>
      </w:r>
    </w:p>
    <w:p w14:paraId="6350ED2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楷体" w:hAnsi="楷体" w:eastAsia="楷体" w:cs="楷体"/>
          <w:b/>
          <w:bCs/>
          <w:color w:val="auto"/>
          <w:sz w:val="32"/>
          <w:szCs w:val="32"/>
        </w:rPr>
      </w:pPr>
      <w:r>
        <w:rPr>
          <w:rFonts w:hint="eastAsia" w:ascii="楷体" w:hAnsi="楷体" w:eastAsia="楷体" w:cs="楷体"/>
          <w:b/>
          <w:bCs/>
          <w:color w:val="auto"/>
          <w:sz w:val="32"/>
          <w:szCs w:val="32"/>
        </w:rPr>
        <w:t>（三）资源储量确定符合性</w:t>
      </w:r>
    </w:p>
    <w:p w14:paraId="77BF3B1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《方案》资源储量类型确定合理，设计利用资源量、可采资源储量的确定符合自治区自然资源厅相关政策要求。</w:t>
      </w:r>
    </w:p>
    <w:p w14:paraId="3E17A29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46"/>
        <w:textAlignment w:val="baseline"/>
        <w:outlineLvl w:val="0"/>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三、设计开采规模及服务年限</w:t>
      </w:r>
    </w:p>
    <w:p w14:paraId="72BF101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rPr>
        <w:t>本次设计根据市场需求、矿床</w:t>
      </w:r>
      <w:r>
        <w:rPr>
          <w:rFonts w:hint="eastAsia" w:ascii="仿宋_GB2312" w:hAnsi="仿宋_GB2312" w:eastAsia="仿宋_GB2312" w:cs="仿宋_GB2312"/>
          <w:spacing w:val="-4"/>
          <w:sz w:val="32"/>
          <w:szCs w:val="32"/>
        </w:rPr>
        <w:t>规模、开采技术条件及《新疆维吾尔自治区28个国家重点生态功能区县（市）产业准入负面清单（试行）的通知》（新发改规划〔2017〕891号）文件要求，矿山生产规模为</w:t>
      </w:r>
      <w:r>
        <w:rPr>
          <w:rFonts w:hint="eastAsia" w:ascii="仿宋_GB2312" w:hAnsi="仿宋_GB2312" w:eastAsia="仿宋_GB2312" w:cs="仿宋_GB2312"/>
          <w:spacing w:val="-4"/>
          <w:sz w:val="32"/>
          <w:szCs w:val="32"/>
          <w:lang w:val="en-US" w:eastAsia="zh-CN"/>
        </w:rPr>
        <w:t>120</w:t>
      </w:r>
      <w:r>
        <w:rPr>
          <w:rFonts w:hint="eastAsia" w:ascii="仿宋_GB2312" w:hAnsi="仿宋_GB2312" w:eastAsia="仿宋_GB2312" w:cs="仿宋_GB2312"/>
          <w:spacing w:val="-4"/>
          <w:sz w:val="32"/>
          <w:szCs w:val="32"/>
        </w:rPr>
        <w:t>万</w:t>
      </w:r>
      <w:r>
        <w:rPr>
          <w:rFonts w:hint="eastAsia" w:ascii="仿宋_GB2312" w:hAnsi="仿宋_GB2312" w:eastAsia="仿宋_GB2312" w:cs="仿宋_GB2312"/>
          <w:color w:val="auto"/>
          <w:sz w:val="32"/>
          <w:szCs w:val="32"/>
          <w:lang w:val="en-US" w:eastAsia="zh-CN"/>
        </w:rPr>
        <w:t>立方米</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lang w:val="en-US" w:eastAsia="zh-CN"/>
        </w:rPr>
        <w:t>年，</w:t>
      </w:r>
      <w:r>
        <w:rPr>
          <w:rFonts w:hint="eastAsia" w:ascii="仿宋_GB2312" w:hAnsi="仿宋_GB2312" w:eastAsia="仿宋_GB2312" w:cs="仿宋_GB2312"/>
          <w:spacing w:val="-4"/>
          <w:sz w:val="32"/>
          <w:szCs w:val="32"/>
        </w:rPr>
        <w:t>设计服务年限为</w:t>
      </w:r>
      <w:r>
        <w:rPr>
          <w:rFonts w:hint="eastAsia" w:ascii="仿宋_GB2312" w:hAnsi="仿宋_GB2312" w:eastAsia="仿宋_GB2312" w:cs="仿宋_GB2312"/>
          <w:spacing w:val="-4"/>
          <w:sz w:val="32"/>
          <w:szCs w:val="32"/>
          <w:lang w:val="en-US" w:eastAsia="zh-CN"/>
        </w:rPr>
        <w:t>1.44年（1年6个月）</w:t>
      </w:r>
      <w:r>
        <w:rPr>
          <w:rFonts w:hint="eastAsia" w:ascii="仿宋_GB2312" w:hAnsi="仿宋_GB2312" w:eastAsia="仿宋_GB2312" w:cs="仿宋_GB2312"/>
          <w:spacing w:val="-4"/>
          <w:sz w:val="32"/>
          <w:szCs w:val="32"/>
          <w:lang w:val="zh-CN"/>
        </w:rPr>
        <w:t>。</w:t>
      </w:r>
    </w:p>
    <w:p w14:paraId="519348E3">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46"/>
        <w:textAlignment w:val="baseline"/>
        <w:outlineLvl w:val="0"/>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四、采矿及选矿方案</w:t>
      </w:r>
    </w:p>
    <w:p w14:paraId="0F4424A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矿山</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采用</w:t>
      </w:r>
      <w:r>
        <w:rPr>
          <w:rFonts w:hint="eastAsia" w:ascii="仿宋_GB2312" w:hAnsi="仿宋_GB2312" w:eastAsia="仿宋_GB2312" w:cs="仿宋_GB2312"/>
          <w:color w:val="000000" w:themeColor="text1"/>
          <w:spacing w:val="1"/>
          <w:sz w:val="32"/>
          <w:szCs w:val="32"/>
          <w14:textFill>
            <w14:solidFill>
              <w14:schemeClr w14:val="tx1"/>
            </w14:solidFill>
          </w14:textFill>
        </w:rPr>
        <w:t>露天开采方式，</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汽车</w:t>
      </w:r>
      <w:r>
        <w:rPr>
          <w:rFonts w:hint="eastAsia" w:ascii="仿宋_GB2312" w:hAnsi="仿宋_GB2312" w:eastAsia="仿宋_GB2312" w:cs="仿宋_GB2312"/>
          <w:color w:val="000000" w:themeColor="text1"/>
          <w:spacing w:val="1"/>
          <w:sz w:val="32"/>
          <w:szCs w:val="32"/>
          <w14:textFill>
            <w14:solidFill>
              <w14:schemeClr w14:val="tx1"/>
            </w14:solidFill>
          </w14:textFill>
        </w:rPr>
        <w:t>开拓运输方式，自上而下水</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平</w:t>
      </w:r>
      <w:r>
        <w:rPr>
          <w:rFonts w:hint="eastAsia" w:ascii="仿宋_GB2312" w:hAnsi="仿宋_GB2312" w:eastAsia="仿宋_GB2312" w:cs="仿宋_GB2312"/>
          <w:color w:val="000000" w:themeColor="text1"/>
          <w:spacing w:val="1"/>
          <w:sz w:val="32"/>
          <w:szCs w:val="32"/>
          <w14:textFill>
            <w14:solidFill>
              <w14:schemeClr w14:val="tx1"/>
            </w14:solidFill>
          </w14:textFill>
        </w:rPr>
        <w:t>分层台阶式的采矿方法，选择合理参数圈定露天开采境界，设计采矿回采率</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98</w:t>
      </w:r>
      <w:r>
        <w:rPr>
          <w:rFonts w:hint="eastAsia" w:ascii="仿宋_GB2312" w:hAnsi="仿宋_GB2312" w:eastAsia="仿宋_GB2312" w:cs="仿宋_GB2312"/>
          <w:color w:val="000000" w:themeColor="text1"/>
          <w:spacing w:val="1"/>
          <w:sz w:val="32"/>
          <w:szCs w:val="32"/>
          <w14:textFill>
            <w14:solidFill>
              <w14:schemeClr w14:val="tx1"/>
            </w14:solidFill>
          </w14:textFill>
        </w:rPr>
        <w:t>%，采矿损失率</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
          <w:sz w:val="32"/>
          <w:szCs w:val="32"/>
          <w14:textFill>
            <w14:solidFill>
              <w14:schemeClr w14:val="tx1"/>
            </w14:solidFill>
          </w14:textFill>
        </w:rPr>
        <w:t>%。</w:t>
      </w:r>
    </w:p>
    <w:p w14:paraId="621F88B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筛选工艺流程如下：</w:t>
      </w:r>
    </w:p>
    <w:p w14:paraId="1EA98A9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胶带输送机→</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振动筛</w:t>
      </w:r>
      <w:r>
        <w:rPr>
          <w:rFonts w:hint="eastAsia" w:ascii="仿宋_GB2312" w:hAnsi="仿宋_GB2312" w:eastAsia="仿宋_GB2312" w:cs="仿宋_GB2312"/>
          <w:color w:val="000000" w:themeColor="text1"/>
          <w:spacing w:val="1"/>
          <w:sz w:val="32"/>
          <w:szCs w:val="32"/>
          <w14:textFill>
            <w14:solidFill>
              <w14:schemeClr w14:val="tx1"/>
            </w14:solidFill>
          </w14:textFill>
        </w:rPr>
        <w:t>→筛分分级并水洗→胶带输送机转运→装载机铲装、自卸汽车倒运至成品堆放场。</w:t>
      </w:r>
    </w:p>
    <w:p w14:paraId="4EAD3D1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筛分作业的产品为0.15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5mm的粗砂；5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20mm的细砾；20</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40mm粗砾。</w:t>
      </w:r>
    </w:p>
    <w:p w14:paraId="4F01A23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矿山在实际采选开发生产建设活动中，要以正式设计单位编制并审核通过的采选等设计为准执行。</w:t>
      </w:r>
    </w:p>
    <w:p w14:paraId="27C7191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58"/>
        <w:textAlignment w:val="baseline"/>
        <w:outlineLvl w:val="0"/>
        <w:rPr>
          <w:rFonts w:hint="eastAsia" w:ascii="黑体" w:hAnsi="黑体" w:eastAsia="黑体" w:cs="黑体"/>
          <w:b w:val="0"/>
          <w:bCs w:val="0"/>
          <w:color w:val="000000" w:themeColor="text1"/>
          <w:spacing w:val="-1"/>
          <w:sz w:val="32"/>
          <w:szCs w:val="32"/>
          <w14:textFill>
            <w14:solidFill>
              <w14:schemeClr w14:val="tx1"/>
            </w14:solidFill>
          </w14:textFill>
        </w:rPr>
      </w:pPr>
      <w:r>
        <w:rPr>
          <w:rFonts w:hint="eastAsia" w:ascii="黑体" w:hAnsi="黑体" w:eastAsia="黑体" w:cs="黑体"/>
          <w:b w:val="0"/>
          <w:bCs w:val="0"/>
          <w:color w:val="000000" w:themeColor="text1"/>
          <w:spacing w:val="-1"/>
          <w:sz w:val="32"/>
          <w:szCs w:val="32"/>
          <w14:textFill>
            <w14:solidFill>
              <w14:schemeClr w14:val="tx1"/>
            </w14:solidFill>
          </w14:textFill>
        </w:rPr>
        <w:t>五、产品方案</w:t>
      </w:r>
    </w:p>
    <w:p w14:paraId="35A8A09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000000" w:themeColor="text1"/>
          <w:spacing w:val="1"/>
          <w:sz w:val="32"/>
          <w:szCs w:val="32"/>
          <w14:textFill>
            <w14:solidFill>
              <w14:schemeClr w14:val="tx1"/>
            </w14:solidFill>
          </w14:textFill>
        </w:rPr>
      </w:pPr>
      <w:r>
        <w:rPr>
          <w:rFonts w:hint="eastAsia" w:ascii="仿宋_GB2312" w:hAnsi="仿宋_GB2312" w:eastAsia="仿宋_GB2312" w:cs="仿宋_GB2312"/>
          <w:color w:val="000000" w:themeColor="text1"/>
          <w:spacing w:val="1"/>
          <w:sz w:val="32"/>
          <w:szCs w:val="32"/>
          <w14:textFill>
            <w14:solidFill>
              <w14:schemeClr w14:val="tx1"/>
            </w14:solidFill>
          </w14:textFill>
        </w:rPr>
        <w:t>矿山产品方案为粒径0.15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5mm的粗砂；5</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20mm的细砾；20</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
          <w:sz w:val="32"/>
          <w:szCs w:val="32"/>
          <w14:textFill>
            <w14:solidFill>
              <w14:schemeClr w14:val="tx1"/>
            </w14:solidFill>
          </w14:textFill>
        </w:rPr>
        <w:t>40mm粗砾，共3个产品段。</w:t>
      </w:r>
    </w:p>
    <w:p w14:paraId="091BA5E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50"/>
        <w:textAlignment w:val="baseline"/>
        <w:outlineLvl w:val="0"/>
        <w:rPr>
          <w:rFonts w:hint="eastAsia" w:ascii="黑体" w:hAnsi="黑体" w:eastAsia="黑体" w:cs="黑体"/>
          <w:b w:val="0"/>
          <w:bCs w:val="0"/>
          <w:color w:val="000000" w:themeColor="text1"/>
          <w:spacing w:val="-1"/>
          <w:sz w:val="32"/>
          <w:szCs w:val="32"/>
          <w14:textFill>
            <w14:solidFill>
              <w14:schemeClr w14:val="tx1"/>
            </w14:solidFill>
          </w14:textFill>
        </w:rPr>
      </w:pPr>
      <w:r>
        <w:rPr>
          <w:rFonts w:hint="eastAsia" w:ascii="黑体" w:hAnsi="黑体" w:eastAsia="黑体" w:cs="黑体"/>
          <w:b w:val="0"/>
          <w:bCs w:val="0"/>
          <w:color w:val="000000" w:themeColor="text1"/>
          <w:spacing w:val="-3"/>
          <w:sz w:val="32"/>
          <w:szCs w:val="32"/>
          <w14:textFill>
            <w14:solidFill>
              <w14:schemeClr w14:val="tx1"/>
            </w14:solidFill>
          </w14:textFill>
        </w:rPr>
        <w:t>六、</w:t>
      </w:r>
      <w:r>
        <w:rPr>
          <w:rFonts w:hint="eastAsia" w:ascii="黑体" w:hAnsi="黑体" w:eastAsia="黑体" w:cs="黑体"/>
          <w:b w:val="0"/>
          <w:bCs w:val="0"/>
          <w:color w:val="000000" w:themeColor="text1"/>
          <w:spacing w:val="-4"/>
          <w:sz w:val="32"/>
          <w:szCs w:val="32"/>
          <w14:textFill>
            <w14:solidFill>
              <w14:schemeClr w14:val="tx1"/>
            </w14:solidFill>
          </w14:textFill>
        </w:rPr>
        <w:t>绿色矿山建设</w:t>
      </w:r>
    </w:p>
    <w:p w14:paraId="4E56E3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44"/>
        <w:textAlignment w:val="baseline"/>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14:textFill>
            <w14:solidFill>
              <w14:schemeClr w14:val="tx1"/>
            </w14:solidFill>
          </w14:textFill>
        </w:rPr>
        <w:t>设计采取的开采工艺以及选矿工艺符合本行业绿色矿山建设规范和节约与综合</w:t>
      </w:r>
      <w:r>
        <w:rPr>
          <w:rFonts w:hint="eastAsia" w:ascii="仿宋_GB2312" w:hAnsi="仿宋_GB2312" w:eastAsia="仿宋_GB2312" w:cs="仿宋_GB2312"/>
          <w:color w:val="000000" w:themeColor="text1"/>
          <w:spacing w:val="-2"/>
          <w:sz w:val="32"/>
          <w:szCs w:val="32"/>
          <w14:textFill>
            <w14:solidFill>
              <w14:schemeClr w14:val="tx1"/>
            </w14:solidFill>
          </w14:textFill>
        </w:rPr>
        <w:t>利用要求。设计</w:t>
      </w:r>
      <w:r>
        <w:rPr>
          <w:rFonts w:hint="eastAsia" w:ascii="仿宋_GB2312" w:hAnsi="仿宋_GB2312" w:eastAsia="仿宋_GB2312" w:cs="仿宋_GB2312"/>
          <w:color w:val="000000" w:themeColor="text1"/>
          <w:spacing w:val="1"/>
          <w:sz w:val="32"/>
          <w:szCs w:val="32"/>
          <w14:textFill>
            <w14:solidFill>
              <w14:schemeClr w14:val="tx1"/>
            </w14:solidFill>
          </w14:textFill>
        </w:rPr>
        <w:t>采矿回采率、选矿回收率、综合利用率指标为：</w:t>
      </w:r>
    </w:p>
    <w:p w14:paraId="06325D7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000000" w:themeColor="text1"/>
          <w:spacing w:val="1"/>
          <w:sz w:val="32"/>
          <w:szCs w:val="32"/>
          <w14:textFill>
            <w14:solidFill>
              <w14:schemeClr w14:val="tx1"/>
            </w14:solidFill>
          </w14:textFill>
        </w:rPr>
        <w:t>采矿回采率：根据开采技术条件，本矿采用露天采矿回采率指标应达到9</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pacing w:val="1"/>
          <w:sz w:val="32"/>
          <w:szCs w:val="32"/>
          <w14:textFill>
            <w14:solidFill>
              <w14:schemeClr w14:val="tx1"/>
            </w14:solidFill>
          </w14:textFill>
        </w:rPr>
        <w:t>%，本次设计采用自上而下水分层台阶式的采矿方法回采率9</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pacing w:val="1"/>
          <w:sz w:val="32"/>
          <w:szCs w:val="32"/>
          <w14:textFill>
            <w14:solidFill>
              <w14:schemeClr w14:val="tx1"/>
            </w14:solidFill>
          </w14:textFill>
        </w:rPr>
        <w:t>%，采矿损失率</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1"/>
          <w:sz w:val="32"/>
          <w:szCs w:val="32"/>
          <w14:textFill>
            <w14:solidFill>
              <w14:schemeClr w14:val="tx1"/>
            </w14:solidFill>
          </w14:textFill>
        </w:rPr>
        <w:t>%，采矿回采率指标均符合</w:t>
      </w:r>
      <w:r>
        <w:rPr>
          <w:rFonts w:hint="eastAsia" w:ascii="仿宋_GB2312" w:hAnsi="仿宋_GB2312" w:eastAsia="仿宋_GB2312" w:cs="仿宋_GB2312"/>
          <w:color w:val="000000" w:themeColor="text1"/>
          <w:spacing w:val="1"/>
          <w:sz w:val="32"/>
          <w:szCs w:val="32"/>
          <w:lang w:val="zh-CN"/>
          <w14:textFill>
            <w14:solidFill>
              <w14:schemeClr w14:val="tx1"/>
            </w14:solidFill>
          </w14:textFill>
        </w:rPr>
        <w:t>《装饰石材矿山露天开采工程设计规范》（GB50970-2014）</w:t>
      </w:r>
      <w:r>
        <w:rPr>
          <w:rFonts w:hint="eastAsia" w:ascii="仿宋_GB2312" w:hAnsi="仿宋_GB2312" w:eastAsia="仿宋_GB2312" w:cs="仿宋_GB2312"/>
          <w:color w:val="000000" w:themeColor="text1"/>
          <w:spacing w:val="1"/>
          <w:sz w:val="32"/>
          <w:szCs w:val="32"/>
          <w14:textFill>
            <w14:solidFill>
              <w14:schemeClr w14:val="tx1"/>
            </w14:solidFill>
          </w14:textFill>
        </w:rPr>
        <w:t>规定采矿回采率指标要求。</w:t>
      </w:r>
    </w:p>
    <w:p w14:paraId="5DE6BF9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仿宋_GB2312" w:hAnsi="仿宋_GB2312" w:eastAsia="仿宋_GB2312" w:cs="仿宋_GB2312"/>
          <w:color w:val="auto"/>
          <w:spacing w:val="1"/>
          <w:sz w:val="32"/>
          <w:szCs w:val="32"/>
        </w:rPr>
      </w:pPr>
      <w:bookmarkStart w:id="6" w:name="_Hlk91925669"/>
      <w:r>
        <w:rPr>
          <w:rFonts w:hint="eastAsia" w:ascii="仿宋_GB2312" w:hAnsi="仿宋_GB2312" w:eastAsia="仿宋_GB2312" w:cs="仿宋_GB2312"/>
          <w:color w:val="auto"/>
          <w:spacing w:val="1"/>
          <w:sz w:val="32"/>
          <w:szCs w:val="32"/>
        </w:rPr>
        <w:t>综合利用率：</w:t>
      </w:r>
      <w:bookmarkEnd w:id="6"/>
      <w:r>
        <w:rPr>
          <w:rFonts w:hint="eastAsia" w:ascii="仿宋_GB2312" w:hAnsi="仿宋_GB2312" w:eastAsia="仿宋_GB2312" w:cs="仿宋_GB2312"/>
          <w:color w:val="auto"/>
          <w:spacing w:val="1"/>
          <w:sz w:val="32"/>
          <w:szCs w:val="32"/>
        </w:rPr>
        <w:t>本矿无共伴生矿，对于矿山废石可闭坑后回填采矿场，固废利用率100%。</w:t>
      </w:r>
    </w:p>
    <w:p w14:paraId="6777CC1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4"/>
        <w:textAlignment w:val="baseline"/>
        <w:rPr>
          <w:rFonts w:hint="eastAsia" w:ascii="黑体" w:hAnsi="黑体" w:eastAsia="黑体" w:cs="黑体"/>
          <w:color w:val="auto"/>
          <w:spacing w:val="1"/>
          <w:sz w:val="32"/>
          <w:szCs w:val="32"/>
        </w:rPr>
      </w:pPr>
      <w:r>
        <w:rPr>
          <w:rFonts w:hint="eastAsia" w:ascii="黑体" w:hAnsi="黑体" w:eastAsia="黑体" w:cs="黑体"/>
          <w:color w:val="auto"/>
          <w:spacing w:val="1"/>
          <w:sz w:val="32"/>
          <w:szCs w:val="32"/>
        </w:rPr>
        <w:t>七、矿区地质环境</w:t>
      </w:r>
      <w:bookmarkStart w:id="7" w:name="_Hlk91925963"/>
      <w:r>
        <w:rPr>
          <w:rFonts w:hint="eastAsia" w:ascii="黑体" w:hAnsi="黑体" w:eastAsia="黑体" w:cs="黑体"/>
          <w:color w:val="auto"/>
          <w:spacing w:val="1"/>
          <w:sz w:val="32"/>
          <w:szCs w:val="32"/>
        </w:rPr>
        <w:t>治理恢复</w:t>
      </w:r>
      <w:bookmarkEnd w:id="7"/>
    </w:p>
    <w:p w14:paraId="6F9632B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（一）本次工作查明了矿山环境现状，分析了矿山环境发展趋势，其论述内容基本全面，结论基本正确。</w:t>
      </w:r>
    </w:p>
    <w:p w14:paraId="0EA62D9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（二）确定评估级别为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级，评估区面积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0.5396平方千米</w:t>
      </w:r>
      <w:r>
        <w:rPr>
          <w:rFonts w:hint="eastAsia" w:ascii="仿宋_GB2312" w:hAnsi="仿宋_GB2312" w:eastAsia="仿宋_GB2312" w:cs="仿宋_GB2312"/>
          <w:color w:val="000000" w:themeColor="text1"/>
          <w:sz w:val="32"/>
          <w:szCs w:val="32"/>
          <w14:textFill>
            <w14:solidFill>
              <w14:schemeClr w14:val="tx1"/>
            </w14:solidFill>
          </w14:textFill>
        </w:rPr>
        <w:t>，评估等级划分正确，评估范围确定合理。</w:t>
      </w:r>
    </w:p>
    <w:p w14:paraId="2BA10EB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（三）对矿山地质环境影响进行了现状分析评估，经评估，现状条件下矿区内各类地质灾害不发育，含水层破坏、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地形地貌、</w:t>
      </w:r>
      <w:r>
        <w:rPr>
          <w:rFonts w:hint="eastAsia" w:ascii="仿宋_GB2312" w:hAnsi="仿宋_GB2312" w:eastAsia="仿宋_GB2312" w:cs="仿宋_GB2312"/>
          <w:color w:val="000000" w:themeColor="text1"/>
          <w:sz w:val="32"/>
          <w:szCs w:val="32"/>
          <w14:textFill>
            <w14:solidFill>
              <w14:schemeClr w14:val="tx1"/>
            </w14:solidFill>
          </w14:textFill>
        </w:rPr>
        <w:t>水土环境污染、大气环境污染等方面影响程度较轻，对矿山地质环境的影响程度较轻。</w:t>
      </w:r>
    </w:p>
    <w:p w14:paraId="0470F40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矿山地质环境影响现状评估划分为较轻区，评估区总面积</w:t>
      </w:r>
      <w:r>
        <w:rPr>
          <w:rFonts w:hint="eastAsia" w:ascii="仿宋_GB2312" w:hAnsi="仿宋_GB2312" w:eastAsia="仿宋_GB2312" w:cs="仿宋_GB2312"/>
          <w:color w:val="000000" w:themeColor="text1"/>
          <w:sz w:val="32"/>
          <w:szCs w:val="32"/>
          <w:lang w:eastAsia="zh-CN"/>
          <w14:textFill>
            <w14:solidFill>
              <w14:schemeClr w14:val="tx1"/>
            </w14:solidFill>
          </w14:textFill>
        </w:rPr>
        <w:t>53.9615</w:t>
      </w:r>
      <w:r>
        <w:rPr>
          <w:rFonts w:hint="eastAsia" w:ascii="仿宋_GB2312" w:hAnsi="仿宋_GB2312" w:eastAsia="仿宋_GB2312" w:cs="仿宋_GB2312"/>
          <w:color w:val="000000" w:themeColor="text1"/>
          <w:sz w:val="32"/>
          <w:szCs w:val="32"/>
          <w14:textFill>
            <w14:solidFill>
              <w14:schemeClr w14:val="tx1"/>
            </w14:solidFill>
          </w14:textFill>
        </w:rPr>
        <w:t>公顷，其中：</w:t>
      </w:r>
    </w:p>
    <w:p w14:paraId="0F3BF63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较轻区：面积</w:t>
      </w:r>
      <w:r>
        <w:rPr>
          <w:rFonts w:hint="eastAsia" w:ascii="仿宋_GB2312" w:hAnsi="仿宋_GB2312" w:eastAsia="仿宋_GB2312" w:cs="仿宋_GB2312"/>
          <w:color w:val="000000" w:themeColor="text1"/>
          <w:sz w:val="32"/>
          <w:szCs w:val="32"/>
          <w:lang w:eastAsia="zh-CN"/>
          <w14:textFill>
            <w14:solidFill>
              <w14:schemeClr w14:val="tx1"/>
            </w14:solidFill>
          </w14:textFill>
        </w:rPr>
        <w:t>53.9615</w:t>
      </w:r>
      <w:r>
        <w:rPr>
          <w:rFonts w:hint="eastAsia" w:ascii="仿宋_GB2312" w:hAnsi="仿宋_GB2312" w:eastAsia="仿宋_GB2312" w:cs="仿宋_GB2312"/>
          <w:color w:val="000000" w:themeColor="text1"/>
          <w:sz w:val="32"/>
          <w:szCs w:val="32"/>
          <w14:textFill>
            <w14:solidFill>
              <w14:schemeClr w14:val="tx1"/>
            </w14:solidFill>
          </w14:textFill>
        </w:rPr>
        <w:t>公顷，为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整个评估区</w:t>
      </w:r>
      <w:r>
        <w:rPr>
          <w:rFonts w:hint="eastAsia" w:ascii="仿宋_GB2312" w:hAnsi="仿宋_GB2312" w:eastAsia="仿宋_GB2312" w:cs="仿宋_GB2312"/>
          <w:color w:val="000000" w:themeColor="text1"/>
          <w:sz w:val="32"/>
          <w:szCs w:val="32"/>
          <w14:textFill>
            <w14:solidFill>
              <w14:schemeClr w14:val="tx1"/>
            </w14:solidFill>
          </w14:textFill>
        </w:rPr>
        <w:t>。</w:t>
      </w:r>
    </w:p>
    <w:p w14:paraId="10E50A6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（四）对采矿活动对矿山地质环境的影响进行了预测评估，经评估，矿山地质环境影响预测评估划分为严重区、较严重区和较轻区，评估区总面积</w:t>
      </w:r>
      <w:r>
        <w:rPr>
          <w:rFonts w:hint="eastAsia" w:ascii="仿宋_GB2312" w:hAnsi="仿宋_GB2312" w:eastAsia="仿宋_GB2312" w:cs="仿宋_GB2312"/>
          <w:color w:val="auto"/>
          <w:sz w:val="32"/>
          <w:szCs w:val="32"/>
          <w:lang w:eastAsia="zh-CN"/>
        </w:rPr>
        <w:t>53.9615</w:t>
      </w:r>
      <w:r>
        <w:rPr>
          <w:rFonts w:hint="eastAsia" w:ascii="仿宋_GB2312" w:hAnsi="仿宋_GB2312" w:eastAsia="仿宋_GB2312" w:cs="仿宋_GB2312"/>
          <w:color w:val="auto"/>
          <w:sz w:val="32"/>
          <w:szCs w:val="32"/>
        </w:rPr>
        <w:t>公顷，其中：</w:t>
      </w:r>
    </w:p>
    <w:p w14:paraId="1CFBF77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严重区：面积23.9162公顷，为规划露天采场、废石堆放场；</w:t>
      </w:r>
    </w:p>
    <w:p w14:paraId="64FE9EE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较严重区：面积1.9047公顷，为办公生活区、工业广场、矿山道路；</w:t>
      </w:r>
    </w:p>
    <w:p w14:paraId="76C76E7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较轻区：面积28.3406公顷，为上述区域以外的评估区其他区域。</w:t>
      </w:r>
    </w:p>
    <w:p w14:paraId="28A2910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（五）确定了矿山环境保护与治理恢复的原则、目标和任务，对矿区进行了矿山环境保护与治理恢复分区，并提出了具体的保护、治理以及监测方案，并进行了经费概算。</w:t>
      </w:r>
    </w:p>
    <w:p w14:paraId="0E9FB61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rPr>
        <w:t>矿山环境保护与综合治理分区</w:t>
      </w:r>
    </w:p>
    <w:p w14:paraId="66DF143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32"/>
          <w:szCs w:val="32"/>
          <w:lang w:val="en-US" w:eastAsia="zh-CN"/>
        </w:rPr>
        <w:t>划分了重点防治区、次重点防治区和一般防治区。共划分为2个重点防治区，为规划露天采场、废石堆放场，面积22.0677公顷，该区现状评估各场地对矿山地质环境影响程度较轻；预测评估对矿山地质环境影响程度为严重。共划分为3个次重点防治区，为办公生活区、矿山道路、废石堆放场，面积1.9047公顷，现状评估对矿山地质环境影响程度较轻；预测评估对矿山地质环境影响程度为较严重。一般防治区总面积28.3406公顷，为重点防治区、次重点防治区以外的其他区域，现状评估对矿山地质环境影响程度为较轻；预测评估对矿山地质环境影响程度为较轻。</w:t>
      </w:r>
    </w:p>
    <w:p w14:paraId="2C5D771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rPr>
        <w:t>地质环境治理工程</w:t>
      </w:r>
    </w:p>
    <w:p w14:paraId="1564BC4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（1）矿山地质灾害防治及监测：对预测</w:t>
      </w:r>
      <w:bookmarkStart w:id="8" w:name="_Hlk100051217"/>
      <w:r>
        <w:rPr>
          <w:rFonts w:hint="eastAsia" w:ascii="仿宋_GB2312" w:hAnsi="仿宋_GB2312" w:eastAsia="仿宋_GB2312" w:cs="仿宋_GB2312"/>
          <w:color w:val="auto"/>
          <w:sz w:val="32"/>
          <w:szCs w:val="32"/>
        </w:rPr>
        <w:t>存在崩塌地质灾害</w:t>
      </w:r>
      <w:bookmarkEnd w:id="8"/>
      <w:r>
        <w:rPr>
          <w:rFonts w:hint="eastAsia" w:ascii="仿宋_GB2312" w:hAnsi="仿宋_GB2312" w:eastAsia="仿宋_GB2312" w:cs="仿宋_GB2312"/>
          <w:color w:val="auto"/>
          <w:sz w:val="32"/>
          <w:szCs w:val="32"/>
        </w:rPr>
        <w:t>的采矿场外设置铁丝围栏</w:t>
      </w:r>
      <w:r>
        <w:rPr>
          <w:rFonts w:hint="eastAsia" w:ascii="仿宋_GB2312" w:hAnsi="仿宋_GB2312" w:eastAsia="仿宋_GB2312" w:cs="仿宋_GB2312"/>
          <w:color w:val="auto"/>
          <w:sz w:val="32"/>
          <w:szCs w:val="32"/>
          <w:lang w:val="en-US" w:eastAsia="zh-CN"/>
        </w:rPr>
        <w:t>1920</w:t>
      </w:r>
      <w:r>
        <w:rPr>
          <w:rFonts w:hint="eastAsia" w:ascii="仿宋_GB2312" w:hAnsi="仿宋_GB2312" w:eastAsia="仿宋_GB2312" w:cs="仿宋_GB2312"/>
          <w:color w:val="auto"/>
          <w:sz w:val="32"/>
          <w:szCs w:val="32"/>
        </w:rPr>
        <w:t>米，警示牌</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个；建立矿山地质环境监测系统，完成崩塌等地质灾害监测点的布置等。该项目工作贯穿整个矿山服务年限。</w:t>
      </w:r>
    </w:p>
    <w:p w14:paraId="379CE71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（2）含水层破坏的预防、修复及监测：每半个月将生活垃圾清运至垃圾填埋场处理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矿山生产对含水层结构破坏较小，未来主要采取预防工程措施，矿山闭坑后可以自然恢复，不需要进行专门的修复。</w:t>
      </w:r>
    </w:p>
    <w:p w14:paraId="4E20BF7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矿山采用露天开采，评估区内无地表水体，矿体多位于当地侵蚀基准面和地下水位以上，对含水层破坏程度较轻，因此矿山不对含水层进行监测。</w:t>
      </w:r>
    </w:p>
    <w:p w14:paraId="085B08F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地形地貌景观破坏的预防、修复及监测：矿山开采期间优化开采方案，减少对地表的挖损、压占破坏；对废弃物尽可能综合利用，减少对地形地貌景观的破坏；边开采边治理，及时恢复地貌。矿山闭坑后，将不再留用的地面建筑拆除，可利用材料外运再利用，建筑垃圾拉运至</w:t>
      </w:r>
      <w:r>
        <w:rPr>
          <w:rFonts w:hint="eastAsia" w:ascii="仿宋_GB2312" w:hAnsi="仿宋_GB2312" w:eastAsia="仿宋_GB2312" w:cs="仿宋_GB2312"/>
          <w:color w:val="auto"/>
          <w:sz w:val="32"/>
          <w:szCs w:val="32"/>
          <w:lang w:val="en-US" w:eastAsia="zh-CN"/>
        </w:rPr>
        <w:t>高昌区</w:t>
      </w:r>
      <w:r>
        <w:rPr>
          <w:rFonts w:hint="eastAsia" w:ascii="仿宋_GB2312" w:hAnsi="仿宋_GB2312" w:eastAsia="仿宋_GB2312" w:cs="仿宋_GB2312"/>
          <w:color w:val="auto"/>
          <w:sz w:val="32"/>
          <w:szCs w:val="32"/>
        </w:rPr>
        <w:t>生活垃圾填埋场统一处置，对场地进行平整，恢复为原土地利用类型，使地形地貌景观破坏修复为与周边地形地貌相协调。监测频率1</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p>
    <w:p w14:paraId="7E1B71B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bookmarkStart w:id="9" w:name="_Toc76981923"/>
      <w:bookmarkStart w:id="10" w:name="_Toc76982487"/>
      <w:bookmarkStart w:id="11" w:name="_Toc76982307"/>
      <w:bookmarkStart w:id="12" w:name="_Toc4933"/>
      <w:r>
        <w:rPr>
          <w:rFonts w:hint="eastAsia" w:ascii="仿宋_GB2312" w:hAnsi="仿宋_GB2312" w:eastAsia="仿宋_GB2312" w:cs="仿宋_GB2312"/>
          <w:color w:val="auto"/>
          <w:sz w:val="32"/>
          <w:szCs w:val="32"/>
        </w:rPr>
        <w:t>（4）水土环境污染</w:t>
      </w:r>
      <w:bookmarkEnd w:id="9"/>
      <w:bookmarkEnd w:id="10"/>
      <w:bookmarkEnd w:id="11"/>
      <w:bookmarkEnd w:id="12"/>
      <w:r>
        <w:rPr>
          <w:rFonts w:hint="eastAsia" w:ascii="仿宋_GB2312" w:hAnsi="仿宋_GB2312" w:eastAsia="仿宋_GB2312" w:cs="仿宋_GB2312"/>
          <w:color w:val="auto"/>
          <w:sz w:val="32"/>
          <w:szCs w:val="32"/>
        </w:rPr>
        <w:t>的预防、修复及监测：①矿山生产期间，矿山将生产活动控制在生产生活场地内，废石土临时堆存在</w:t>
      </w:r>
      <w:r>
        <w:rPr>
          <w:rFonts w:hint="eastAsia" w:ascii="仿宋_GB2312" w:hAnsi="仿宋_GB2312" w:eastAsia="仿宋_GB2312" w:cs="仿宋_GB2312"/>
          <w:color w:val="auto"/>
          <w:sz w:val="32"/>
          <w:szCs w:val="32"/>
          <w:lang w:val="en-US" w:eastAsia="zh-CN"/>
        </w:rPr>
        <w:t>排土场</w:t>
      </w:r>
      <w:r>
        <w:rPr>
          <w:rFonts w:hint="eastAsia" w:ascii="仿宋_GB2312" w:hAnsi="仿宋_GB2312" w:eastAsia="仿宋_GB2312" w:cs="仿宋_GB2312"/>
          <w:color w:val="auto"/>
          <w:sz w:val="32"/>
          <w:szCs w:val="32"/>
        </w:rPr>
        <w:t>；定期清运生活垃圾运至</w:t>
      </w:r>
      <w:r>
        <w:rPr>
          <w:rFonts w:hint="eastAsia" w:ascii="仿宋_GB2312" w:hAnsi="仿宋_GB2312" w:eastAsia="仿宋_GB2312" w:cs="仿宋_GB2312"/>
          <w:color w:val="auto"/>
          <w:sz w:val="32"/>
          <w:szCs w:val="32"/>
          <w:lang w:val="en-US" w:eastAsia="zh-CN"/>
        </w:rPr>
        <w:t>高昌区垃圾填埋场</w:t>
      </w:r>
      <w:r>
        <w:rPr>
          <w:rFonts w:hint="eastAsia" w:ascii="仿宋_GB2312" w:hAnsi="仿宋_GB2312" w:eastAsia="仿宋_GB2312" w:cs="仿宋_GB2312"/>
          <w:color w:val="auto"/>
          <w:sz w:val="32"/>
          <w:szCs w:val="32"/>
        </w:rPr>
        <w:t>统一处理；避免对土地造成污染损毁。 ②生活污水经处理后，达到《农村生活污水处理排放标准》（DB65 4275-2019）中的排放标准，用于矿区洒水降尘及绿化。③矿山未来仅采取监测和预防工程措施，不采取治理工程措施。④可能引发土壤污染的区域布设监测点，加强对土壤环境的动态跟踪监测。在</w:t>
      </w:r>
      <w:r>
        <w:rPr>
          <w:rFonts w:hint="eastAsia" w:ascii="仿宋_GB2312" w:hAnsi="仿宋_GB2312" w:eastAsia="仿宋_GB2312" w:cs="仿宋_GB2312"/>
          <w:color w:val="auto"/>
          <w:sz w:val="32"/>
          <w:szCs w:val="32"/>
          <w:lang w:val="en-US" w:eastAsia="zh-CN"/>
        </w:rPr>
        <w:t>生活区、工业广场各</w:t>
      </w:r>
      <w:r>
        <w:rPr>
          <w:rFonts w:hint="eastAsia" w:ascii="仿宋_GB2312" w:hAnsi="仿宋_GB2312" w:eastAsia="仿宋_GB2312" w:cs="仿宋_GB2312"/>
          <w:color w:val="auto"/>
          <w:sz w:val="32"/>
          <w:szCs w:val="32"/>
        </w:rPr>
        <w:t>布置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个监测点，每年取土壤测试样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次。（实际生产建设中按照生态环境主管部门批复的环境影响评价和有关方案要求执行）</w:t>
      </w:r>
    </w:p>
    <w:p w14:paraId="003866A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（5）大气环境的预防、修复及监测：大气环境污染较轻，无需设计大气环境污染修复，以预防措施为主。主要在无组织排放源下风向布置1个监测点，进行大气环境监测。每年在矿山生产期采集气体样品</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次，每次连续24小时监测。（实际生产建设中按照生态环境主管部门批复的环境影响评价和有关方案要求执行）</w:t>
      </w:r>
    </w:p>
    <w:p w14:paraId="1B099376">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62"/>
        <w:textAlignment w:val="baseline"/>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八、矿区土地复垦</w:t>
      </w:r>
    </w:p>
    <w:p w14:paraId="43BB4AB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rPr>
        <w:t>矿区土地利用现状</w:t>
      </w:r>
    </w:p>
    <w:p w14:paraId="1DFE9D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矿区范围面积</w:t>
      </w:r>
      <w:r>
        <w:rPr>
          <w:rFonts w:hint="eastAsia" w:ascii="仿宋_GB2312" w:hAnsi="仿宋_GB2312" w:eastAsia="仿宋_GB2312" w:cs="仿宋_GB2312"/>
          <w:color w:val="auto"/>
          <w:sz w:val="32"/>
          <w:szCs w:val="32"/>
          <w:lang w:val="en-US" w:eastAsia="zh-CN"/>
        </w:rPr>
        <w:t>25.6209</w:t>
      </w:r>
      <w:r>
        <w:rPr>
          <w:rFonts w:hint="eastAsia" w:ascii="仿宋_GB2312" w:hAnsi="仿宋_GB2312" w:eastAsia="仿宋_GB2312" w:cs="仿宋_GB2312"/>
          <w:color w:val="auto"/>
          <w:sz w:val="32"/>
          <w:szCs w:val="32"/>
        </w:rPr>
        <w:t>公顷，</w:t>
      </w:r>
      <w:bookmarkStart w:id="13" w:name="_Hlk100053056"/>
      <w:r>
        <w:rPr>
          <w:rFonts w:hint="eastAsia" w:ascii="仿宋_GB2312" w:hAnsi="仿宋_GB2312" w:eastAsia="仿宋_GB2312" w:cs="仿宋_GB2312"/>
          <w:color w:val="auto"/>
          <w:sz w:val="32"/>
          <w:szCs w:val="32"/>
        </w:rPr>
        <w:t>涉及</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种土地利用类型</w:t>
      </w:r>
      <w:bookmarkEnd w:id="13"/>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25.6209公顷均为裸岩石砾地</w:t>
      </w:r>
      <w:r>
        <w:rPr>
          <w:rFonts w:hint="eastAsia" w:ascii="仿宋_GB2312" w:hAnsi="仿宋_GB2312" w:eastAsia="仿宋_GB2312" w:cs="仿宋_GB2312"/>
          <w:color w:val="auto"/>
          <w:sz w:val="32"/>
          <w:szCs w:val="32"/>
        </w:rPr>
        <w:t>。</w:t>
      </w:r>
    </w:p>
    <w:p w14:paraId="0CEE8DC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矿区范围位于高昌区西北298°方位，直线距离22.68千米，土地权属性质为国有。</w:t>
      </w:r>
    </w:p>
    <w:p w14:paraId="57B7362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rPr>
        <w:t>土地复垦区与复垦责任范围</w:t>
      </w:r>
    </w:p>
    <w:p w14:paraId="3C73993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本方案复垦区面积</w:t>
      </w:r>
      <w:r>
        <w:rPr>
          <w:rFonts w:hint="eastAsia" w:ascii="仿宋_GB2312" w:hAnsi="仿宋_GB2312" w:eastAsia="仿宋_GB2312" w:cs="仿宋_GB2312"/>
          <w:color w:val="auto"/>
          <w:sz w:val="32"/>
          <w:szCs w:val="32"/>
          <w:lang w:val="en-US" w:eastAsia="zh-CN"/>
        </w:rPr>
        <w:t>25.6209</w:t>
      </w:r>
      <w:r>
        <w:rPr>
          <w:rFonts w:hint="eastAsia" w:ascii="仿宋_GB2312" w:hAnsi="仿宋_GB2312" w:eastAsia="仿宋_GB2312" w:cs="仿宋_GB2312"/>
          <w:color w:val="auto"/>
          <w:sz w:val="32"/>
          <w:szCs w:val="32"/>
        </w:rPr>
        <w:t>公顷，包括</w:t>
      </w:r>
      <w:r>
        <w:rPr>
          <w:rFonts w:hint="eastAsia" w:ascii="仿宋_GB2312" w:hAnsi="仿宋_GB2312" w:eastAsia="仿宋_GB2312" w:cs="仿宋_GB2312"/>
          <w:color w:val="auto"/>
          <w:sz w:val="32"/>
          <w:szCs w:val="32"/>
          <w:lang w:val="en-US" w:eastAsia="zh-CN"/>
        </w:rPr>
        <w:t>规划露天采场、办公生活区、工业广场、矿山道路、废石堆放场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其他未</w:t>
      </w:r>
      <w:r>
        <w:rPr>
          <w:rFonts w:hint="eastAsia" w:ascii="仿宋_GB2312" w:hAnsi="仿宋_GB2312" w:eastAsia="仿宋_GB2312" w:cs="仿宋_GB2312"/>
          <w:color w:val="auto"/>
          <w:sz w:val="32"/>
          <w:szCs w:val="32"/>
        </w:rPr>
        <w:t>损毁区域保持原状，不属于本矿山复垦责任，最终确定本方案复垦责任范围面积</w:t>
      </w:r>
      <w:bookmarkStart w:id="14" w:name="_Hlk92304225"/>
      <w:r>
        <w:rPr>
          <w:rFonts w:hint="eastAsia" w:ascii="仿宋_GB2312" w:hAnsi="仿宋_GB2312" w:eastAsia="仿宋_GB2312" w:cs="仿宋_GB2312"/>
          <w:color w:val="auto"/>
          <w:sz w:val="32"/>
          <w:szCs w:val="32"/>
        </w:rPr>
        <w:t>为</w:t>
      </w:r>
      <w:bookmarkEnd w:id="14"/>
      <w:r>
        <w:rPr>
          <w:rFonts w:hint="eastAsia" w:ascii="仿宋_GB2312" w:hAnsi="仿宋_GB2312" w:eastAsia="仿宋_GB2312" w:cs="仿宋_GB2312"/>
          <w:color w:val="auto"/>
          <w:sz w:val="32"/>
          <w:szCs w:val="32"/>
          <w:lang w:val="en-US" w:eastAsia="zh-CN"/>
        </w:rPr>
        <w:t>25.6209</w:t>
      </w:r>
      <w:r>
        <w:rPr>
          <w:rFonts w:hint="eastAsia" w:ascii="仿宋_GB2312" w:hAnsi="仿宋_GB2312" w:eastAsia="仿宋_GB2312" w:cs="仿宋_GB2312"/>
          <w:color w:val="auto"/>
          <w:sz w:val="32"/>
          <w:szCs w:val="32"/>
        </w:rPr>
        <w:t>公顷，土地复垦率100%。</w:t>
      </w:r>
    </w:p>
    <w:p w14:paraId="4DB817C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3.</w:t>
      </w:r>
      <w:r>
        <w:rPr>
          <w:rFonts w:hint="eastAsia" w:ascii="仿宋_GB2312" w:hAnsi="仿宋_GB2312" w:eastAsia="仿宋_GB2312" w:cs="仿宋_GB2312"/>
          <w:b/>
          <w:bCs/>
          <w:color w:val="auto"/>
          <w:sz w:val="32"/>
          <w:szCs w:val="32"/>
        </w:rPr>
        <w:t>矿区土地适宜性评价</w:t>
      </w:r>
    </w:p>
    <w:p w14:paraId="3629429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本方案复垦适宜性评价范围为复垦责任区，合计面积</w:t>
      </w:r>
      <w:r>
        <w:rPr>
          <w:rFonts w:hint="eastAsia" w:ascii="仿宋_GB2312" w:hAnsi="仿宋_GB2312" w:eastAsia="仿宋_GB2312" w:cs="仿宋_GB2312"/>
          <w:color w:val="auto"/>
          <w:sz w:val="32"/>
          <w:szCs w:val="32"/>
          <w:lang w:val="en-US" w:eastAsia="zh-CN"/>
        </w:rPr>
        <w:t>25.6209</w:t>
      </w:r>
      <w:r>
        <w:rPr>
          <w:rFonts w:hint="eastAsia" w:ascii="仿宋_GB2312" w:hAnsi="仿宋_GB2312" w:eastAsia="仿宋_GB2312" w:cs="仿宋_GB2312"/>
          <w:color w:val="auto"/>
          <w:sz w:val="32"/>
          <w:szCs w:val="32"/>
        </w:rPr>
        <w:t>公顷，包括</w:t>
      </w:r>
      <w:r>
        <w:rPr>
          <w:rFonts w:hint="eastAsia" w:ascii="仿宋_GB2312" w:hAnsi="仿宋_GB2312" w:eastAsia="仿宋_GB2312" w:cs="仿宋_GB2312"/>
          <w:color w:val="auto"/>
          <w:sz w:val="32"/>
          <w:szCs w:val="32"/>
          <w:lang w:val="en-US" w:eastAsia="zh-CN"/>
        </w:rPr>
        <w:t>规划露天采场、工业广场、办公生活区、矿山道路</w:t>
      </w:r>
      <w:r>
        <w:rPr>
          <w:rFonts w:hint="eastAsia" w:ascii="仿宋_GB2312" w:hAnsi="仿宋_GB2312" w:eastAsia="仿宋_GB2312" w:cs="仿宋_GB2312"/>
          <w:color w:val="auto"/>
          <w:sz w:val="32"/>
          <w:szCs w:val="32"/>
        </w:rPr>
        <w:t>，确定损毁土地的复垦方向以恢复原功能为主，即复垦为</w:t>
      </w:r>
      <w:r>
        <w:rPr>
          <w:rFonts w:hint="eastAsia" w:ascii="仿宋_GB2312" w:hAnsi="仿宋_GB2312" w:eastAsia="仿宋_GB2312" w:cs="仿宋_GB2312"/>
          <w:color w:val="auto"/>
          <w:sz w:val="32"/>
          <w:szCs w:val="32"/>
          <w:lang w:val="en-US" w:eastAsia="zh-CN"/>
        </w:rPr>
        <w:t>裸岩石砾地</w:t>
      </w:r>
      <w:r>
        <w:rPr>
          <w:rFonts w:hint="eastAsia" w:ascii="仿宋_GB2312" w:hAnsi="仿宋_GB2312" w:eastAsia="仿宋_GB2312" w:cs="仿宋_GB2312"/>
          <w:color w:val="auto"/>
          <w:sz w:val="32"/>
          <w:szCs w:val="32"/>
        </w:rPr>
        <w:t>。</w:t>
      </w:r>
    </w:p>
    <w:p w14:paraId="2CFF0AB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4.</w:t>
      </w:r>
      <w:r>
        <w:rPr>
          <w:rFonts w:hint="eastAsia" w:ascii="仿宋_GB2312" w:hAnsi="仿宋_GB2312" w:eastAsia="仿宋_GB2312" w:cs="仿宋_GB2312"/>
          <w:b/>
          <w:bCs/>
          <w:color w:val="auto"/>
          <w:sz w:val="32"/>
          <w:szCs w:val="32"/>
        </w:rPr>
        <w:t>矿区水土资源平衡分析</w:t>
      </w:r>
    </w:p>
    <w:p w14:paraId="0BF6C68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本次土地类型为裸岩石砾地，不涉及灌溉工程，无需进行水资源平衡分析。</w:t>
      </w:r>
    </w:p>
    <w:p w14:paraId="4B83EAB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本次土地类型为裸岩石砾地，不涉及表土剥覆工程，无需进行表土资源平衡分析。</w:t>
      </w:r>
      <w:r>
        <w:rPr>
          <w:rFonts w:hint="eastAsia" w:ascii="仿宋_GB2312" w:hAnsi="仿宋_GB2312" w:eastAsia="仿宋_GB2312" w:cs="仿宋_GB2312"/>
          <w:color w:val="auto"/>
          <w:sz w:val="32"/>
          <w:szCs w:val="32"/>
          <w:lang w:val="en-US" w:eastAsia="zh-CN"/>
        </w:rPr>
        <w:t xml:space="preserve">        </w:t>
      </w:r>
    </w:p>
    <w:p w14:paraId="647124F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5.</w:t>
      </w:r>
      <w:r>
        <w:rPr>
          <w:rFonts w:hint="eastAsia" w:ascii="仿宋_GB2312" w:hAnsi="仿宋_GB2312" w:eastAsia="仿宋_GB2312" w:cs="仿宋_GB2312"/>
          <w:b/>
          <w:bCs/>
          <w:color w:val="auto"/>
          <w:sz w:val="32"/>
          <w:szCs w:val="32"/>
        </w:rPr>
        <w:t>土地复垦工程措施</w:t>
      </w:r>
    </w:p>
    <w:p w14:paraId="42C75896">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bookmarkStart w:id="15" w:name="_Hlk92294388"/>
      <w:r>
        <w:rPr>
          <w:rFonts w:hint="eastAsia" w:ascii="仿宋_GB2312" w:hAnsi="仿宋_GB2312" w:eastAsia="仿宋_GB2312" w:cs="仿宋_GB2312"/>
          <w:color w:val="auto"/>
          <w:sz w:val="32"/>
          <w:szCs w:val="32"/>
        </w:rPr>
        <w:t>本方案划分</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个土地复垦单元，分别为</w:t>
      </w:r>
      <w:r>
        <w:rPr>
          <w:rFonts w:hint="eastAsia" w:ascii="仿宋_GB2312" w:hAnsi="仿宋_GB2312" w:eastAsia="仿宋_GB2312" w:cs="仿宋_GB2312"/>
          <w:color w:val="auto"/>
          <w:sz w:val="32"/>
          <w:szCs w:val="32"/>
          <w:lang w:val="en-US" w:eastAsia="zh-CN"/>
        </w:rPr>
        <w:t>规划露天采场、办公生活区、工业广场、矿山道路、废石堆放场</w:t>
      </w:r>
      <w:r>
        <w:rPr>
          <w:rFonts w:hint="eastAsia" w:ascii="仿宋_GB2312" w:hAnsi="仿宋_GB2312" w:eastAsia="仿宋_GB2312" w:cs="仿宋_GB2312"/>
          <w:color w:val="auto"/>
          <w:sz w:val="32"/>
          <w:szCs w:val="32"/>
        </w:rPr>
        <w:t>。</w:t>
      </w:r>
    </w:p>
    <w:p w14:paraId="060F9C9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土地复垦措施主要包括设施拆除清运处置、平整工程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植被工程</w:t>
      </w:r>
      <w:r>
        <w:rPr>
          <w:rFonts w:hint="eastAsia" w:ascii="仿宋_GB2312" w:hAnsi="仿宋_GB2312" w:eastAsia="仿宋_GB2312" w:cs="仿宋_GB2312"/>
          <w:color w:val="auto"/>
          <w:sz w:val="32"/>
          <w:szCs w:val="32"/>
        </w:rPr>
        <w:t>等。</w:t>
      </w:r>
      <w:bookmarkEnd w:id="15"/>
    </w:p>
    <w:p w14:paraId="2B43C6F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6.</w:t>
      </w:r>
      <w:r>
        <w:rPr>
          <w:rFonts w:hint="eastAsia" w:ascii="仿宋_GB2312" w:hAnsi="仿宋_GB2312" w:eastAsia="仿宋_GB2312" w:cs="仿宋_GB2312"/>
          <w:b/>
          <w:bCs/>
          <w:color w:val="auto"/>
          <w:sz w:val="32"/>
          <w:szCs w:val="32"/>
        </w:rPr>
        <w:t>土地复垦监测</w:t>
      </w:r>
    </w:p>
    <w:p w14:paraId="3E85CA11">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auto"/>
          <w:sz w:val="32"/>
          <w:szCs w:val="32"/>
        </w:rPr>
      </w:pPr>
      <w:bookmarkStart w:id="16" w:name="_Hlk92295462"/>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个待复垦单元各设置</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个监测点，主要为土地损毁监测。监测成果由矿山企业自行管理，必须派专人长期存档、管理。</w:t>
      </w:r>
      <w:bookmarkEnd w:id="16"/>
    </w:p>
    <w:p w14:paraId="606D972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7.</w:t>
      </w:r>
      <w:r>
        <w:rPr>
          <w:rFonts w:hint="eastAsia" w:ascii="仿宋_GB2312" w:hAnsi="仿宋_GB2312" w:eastAsia="仿宋_GB2312" w:cs="仿宋_GB2312"/>
          <w:b/>
          <w:bCs/>
          <w:color w:val="auto"/>
          <w:sz w:val="32"/>
          <w:szCs w:val="32"/>
        </w:rPr>
        <w:t>土地复垦实施年限</w:t>
      </w:r>
    </w:p>
    <w:p w14:paraId="2E8105B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矿山为新建矿山，基建期0.25年，设计服务年限为1.44年，计划开采时间为2026年1月—2027年6月；计划复垦施工期为0.5年，计划复垦时间为2027年7月—2027年12月。故确定《本方案》适用年限约2.19年（2年3个月），即2026年1月—2027年12月。</w:t>
      </w:r>
    </w:p>
    <w:p w14:paraId="1EAEBE6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本方案服务年限为2.19年。暂无需对本《方案》生态保护修复部分有关内容进行修编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254445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土地复垦阶段工作安排</w:t>
      </w:r>
    </w:p>
    <w:p w14:paraId="4C12123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矿山生产期主要进行土地损毁监测，待矿山闭矿后立即全面开展土地复垦工程。因此分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w:t>
      </w:r>
      <w:r>
        <w:rPr>
          <w:rFonts w:hint="eastAsia" w:ascii="仿宋_GB2312" w:hAnsi="仿宋_GB2312" w:eastAsia="仿宋_GB2312" w:cs="仿宋_GB2312"/>
          <w:color w:val="000000" w:themeColor="text1"/>
          <w:sz w:val="32"/>
          <w:szCs w:val="32"/>
          <w14:textFill>
            <w14:solidFill>
              <w14:schemeClr w14:val="tx1"/>
            </w14:solidFill>
          </w14:textFill>
        </w:rPr>
        <w:t>个阶段进行工作安排，即第一阶段</w:t>
      </w:r>
      <w:bookmarkStart w:id="17" w:name="_Hlk84521096"/>
      <w:r>
        <w:rPr>
          <w:rFonts w:hint="eastAsia" w:ascii="仿宋_GB2312" w:hAnsi="仿宋_GB2312" w:eastAsia="仿宋_GB2312" w:cs="仿宋_GB2312"/>
          <w:color w:val="000000" w:themeColor="text1"/>
          <w:sz w:val="32"/>
          <w:szCs w:val="32"/>
          <w14:textFill>
            <w14:solidFill>
              <w14:schemeClr w14:val="tx1"/>
            </w14:solidFill>
          </w14:textFill>
        </w:rPr>
        <w:t>自2026年1月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2027年6月，为矿山生产服务期，主要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完成开采工作，</w:t>
      </w:r>
      <w:r>
        <w:rPr>
          <w:rFonts w:hint="eastAsia" w:ascii="仿宋_GB2312" w:hAnsi="仿宋_GB2312" w:eastAsia="仿宋_GB2312" w:cs="仿宋_GB2312"/>
          <w:color w:val="000000" w:themeColor="text1"/>
          <w:sz w:val="32"/>
          <w:szCs w:val="32"/>
          <w14:textFill>
            <w14:solidFill>
              <w14:schemeClr w14:val="tx1"/>
            </w14:solidFill>
          </w14:textFill>
        </w:rPr>
        <w:t>对各复垦单元进行土地损毁监测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进行场地平整</w:t>
      </w:r>
      <w:r>
        <w:rPr>
          <w:rFonts w:hint="eastAsia" w:ascii="仿宋_GB2312" w:hAnsi="仿宋_GB2312" w:eastAsia="仿宋_GB2312" w:cs="仿宋_GB2312"/>
          <w:color w:val="000000" w:themeColor="text1"/>
          <w:sz w:val="32"/>
          <w:szCs w:val="32"/>
          <w14:textFill>
            <w14:solidFill>
              <w14:schemeClr w14:val="tx1"/>
            </w14:solidFill>
          </w14:textFill>
        </w:rPr>
        <w:t>；第二阶段</w:t>
      </w:r>
      <w:r>
        <w:rPr>
          <w:rFonts w:hint="eastAsia" w:ascii="仿宋_GB2312" w:hAnsi="仿宋_GB2312" w:eastAsia="仿宋_GB2312" w:cs="仿宋_GB2312"/>
          <w:color w:val="auto"/>
          <w:sz w:val="32"/>
          <w:szCs w:val="32"/>
          <w:lang w:val="en-US" w:eastAsia="zh-CN"/>
        </w:rPr>
        <w:t>2027年7月—2027年12月</w:t>
      </w:r>
      <w:r>
        <w:rPr>
          <w:rFonts w:hint="eastAsia" w:ascii="仿宋_GB2312" w:hAnsi="仿宋_GB2312" w:eastAsia="仿宋_GB2312" w:cs="仿宋_GB2312"/>
          <w:color w:val="000000" w:themeColor="text1"/>
          <w:sz w:val="32"/>
          <w:szCs w:val="32"/>
          <w14:textFill>
            <w14:solidFill>
              <w14:schemeClr w14:val="tx1"/>
            </w14:solidFill>
          </w14:textFill>
        </w:rPr>
        <w:t>，为矿山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复垦期</w:t>
      </w:r>
      <w:bookmarkEnd w:id="17"/>
      <w:r>
        <w:rPr>
          <w:rFonts w:hint="eastAsia" w:ascii="仿宋_GB2312" w:hAnsi="仿宋_GB2312" w:eastAsia="仿宋_GB2312" w:cs="仿宋_GB2312"/>
          <w:color w:val="000000" w:themeColor="text1"/>
          <w:sz w:val="32"/>
          <w:szCs w:val="32"/>
          <w14:textFill>
            <w14:solidFill>
              <w14:schemeClr w14:val="tx1"/>
            </w14:solidFill>
          </w14:textFill>
        </w:rPr>
        <w:t>，继续对损毁区域进行土地损毁监测，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复垦</w:t>
      </w:r>
      <w:r>
        <w:rPr>
          <w:rFonts w:hint="eastAsia" w:ascii="仿宋_GB2312" w:hAnsi="仿宋_GB2312" w:eastAsia="仿宋_GB2312" w:cs="仿宋_GB2312"/>
          <w:color w:val="000000" w:themeColor="text1"/>
          <w:sz w:val="32"/>
          <w:szCs w:val="32"/>
          <w14:textFill>
            <w14:solidFill>
              <w14:schemeClr w14:val="tx1"/>
            </w14:solidFill>
          </w14:textFill>
        </w:rPr>
        <w:t>期对损毁区域采取砌体拆除、土地平整等措施。</w:t>
      </w:r>
    </w:p>
    <w:p w14:paraId="5606DD50">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62"/>
        <w:textAlignment w:val="baseline"/>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九、技术经济指标</w:t>
      </w:r>
    </w:p>
    <w:p w14:paraId="6D0A80C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该矿山项目建设规模为年采、筛分建筑用砂矿石120万立方米。矿山总服务年限1.44年（约1年6个月）。项目建成投产后，生产年销售收入平均为4921.20万元，生产年份利润总额平均为1508.89万元，年上缴所得税额平均为377.22万元，年税后利润平均为1131.67万元。计算结果表明：</w:t>
      </w:r>
    </w:p>
    <w:p w14:paraId="7903D10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（1）项目矿产开发具有一定的盈利能力。项目投资净利润率48.56%，总投资收益率64.74%；项目所得税后投资回收期包括建设期在内为0.34年，表明项目财务可行。</w:t>
      </w:r>
    </w:p>
    <w:p w14:paraId="0A96E64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（2）项目生产时的净现金流可保证项目正常营运。项目在估算期内总累计盈余资金为1358.15万元，为建设投入的2.49倍。</w:t>
      </w:r>
    </w:p>
    <w:p w14:paraId="374A755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通过对项目进行分析评价，该矿在财务上具有可行性。</w:t>
      </w:r>
    </w:p>
    <w:p w14:paraId="3050B0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矿山地质环境保护与土地复垦工程静态总投资49.24万元，动态总投资50.28万元。其中矿山地质环境保护和治理工程静态总投资估算费用约17.04万元，动态投资17.80万元；土地复垦工程静态总投资为32.20万元，动态投资32.48万元。</w:t>
      </w:r>
    </w:p>
    <w:p w14:paraId="30B3B31A">
      <w:pPr>
        <w:keepNext w:val="0"/>
        <w:keepLines w:val="0"/>
        <w:pageBreakBefore w:val="0"/>
        <w:widowControl w:val="0"/>
        <w:kinsoku w:val="0"/>
        <w:wordWrap/>
        <w:overflowPunct/>
        <w:topLinePunct w:val="0"/>
        <w:autoSpaceDE w:val="0"/>
        <w:autoSpaceDN w:val="0"/>
        <w:bidi w:val="0"/>
        <w:adjustRightInd w:val="0"/>
        <w:snapToGrid w:val="0"/>
        <w:spacing w:after="0" w:afterLines="50" w:line="560" w:lineRule="exact"/>
        <w:ind w:firstLine="562"/>
        <w:textAlignment w:val="baseline"/>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十、存在的问题及建议</w:t>
      </w:r>
    </w:p>
    <w:p w14:paraId="693DE3C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在矿山开采过程中，严格按照开发利用设计的方法开采，开采中尽可能减少固体废弃物的排放，这样既能改善矿山环境，又可为今后的集中治理节约财力、物力，从而达到矿业开发与矿山环境保护和谐发展的目的。</w:t>
      </w:r>
    </w:p>
    <w:p w14:paraId="2D8F3E2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矿山开采过程中，尽量减少对水土环境污染，及时恢复损毁用地的土地功能。严格按照相关规范要求，尽量减少废污水的产生。</w:t>
      </w:r>
    </w:p>
    <w:p w14:paraId="4D5599F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矿山工作人员在日常巡视过程中，对铁丝网围栏、警示牌等进行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，损坏及时进行修补及更换。按方案设计对含水层、地形地貌及水土环境污染进行监测，发现问题及时上报并处理。</w:t>
      </w:r>
    </w:p>
    <w:p w14:paraId="0060386F">
      <w:pPr>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方案设计工程量及投资仅为初步估算，具体实施时应请有资质单位按各项相关工程的设计规定进行设计、施工，并验收合格后投入使用。考虑到未来情况的多变性、物价涨幅等情况，对于方案设计投资估算仅供参考。</w:t>
      </w:r>
    </w:p>
    <w:p w14:paraId="0A2F53E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本方案中设计的治理措施在矿山企业实施后，可防治地质灾害，在不可控因素下可能发生地表变形等次生灾害；应按本方案要求，认真组织落实，配合当地行政主管部门，做好方案实施的监理、监测和监督工作，严格执行工程监理制度，对各类措施的实施进度、质量和资金使用情况进行监督管理，以保证工程质量。</w:t>
      </w:r>
    </w:p>
    <w:p w14:paraId="3CEEAF3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在方案适用期内，若矿山范围变更、开采规模及开采方式有变动时，应重新编写治理方案。进行下一个规划期方案编制时，要对矿山人文、社会及环境情况重新进行调查，确保方案数据的准确性。</w:t>
      </w:r>
    </w:p>
    <w:p w14:paraId="49EA222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矿山地质环境治理与土地复垦工程的投入所占企业年利润比重偏高，会对企业总体利润构成较大影响，地质环境治理与土地复垦工程经济上可行性风险较大。矿山企业应控制开采成本，提高产品质量，开拓市场，提高产品价格，增加营业收入，达到地质环境治理与土地复垦工程经济上的可行性。</w:t>
      </w:r>
    </w:p>
    <w:p w14:paraId="10B410C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本方案不代替矿山初步设计、地质环境治理及土地复垦工程设计，建议进行工程治理时，委托相关单位对本矿山地质环境进行专项工程勘查、设计。</w:t>
      </w:r>
    </w:p>
    <w:p w14:paraId="465B5F8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560"/>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eastAsia="zh-CN"/>
          <w14:textFill>
            <w14:solidFill>
              <w14:schemeClr w14:val="tx1"/>
            </w14:solidFill>
          </w14:textFill>
        </w:rPr>
        <w:t>吐鲁番恒泰矿业有限责任公司鄯善至库米什高速公路项目高昌区4号取料场</w:t>
      </w:r>
      <w:r>
        <w:rPr>
          <w:rFonts w:hint="eastAsia" w:ascii="仿宋_GB2312" w:hAnsi="仿宋_GB2312" w:eastAsia="仿宋_GB2312" w:cs="仿宋_GB2312"/>
          <w:color w:val="000000" w:themeColor="text1"/>
          <w:sz w:val="32"/>
          <w:szCs w:val="32"/>
          <w14:textFill>
            <w14:solidFill>
              <w14:schemeClr w14:val="tx1"/>
            </w14:solidFill>
          </w14:textFill>
        </w:rPr>
        <w:t>矿产资源开发利用与生态保护修复方案》评审专家组名单</w:t>
      </w:r>
    </w:p>
    <w:p w14:paraId="5ABA53B6">
      <w:pPr>
        <w:keepNext w:val="0"/>
        <w:keepLines w:val="0"/>
        <w:pageBreakBefore w:val="0"/>
        <w:widowControl/>
        <w:kinsoku w:val="0"/>
        <w:wordWrap/>
        <w:overflowPunct/>
        <w:topLinePunct w:val="0"/>
        <w:autoSpaceDE w:val="0"/>
        <w:autoSpaceDN w:val="0"/>
        <w:bidi w:val="0"/>
        <w:adjustRightInd w:val="0"/>
        <w:snapToGrid w:val="0"/>
        <w:spacing w:line="500" w:lineRule="exact"/>
        <w:ind w:firstLine="4000" w:firstLineChars="1250"/>
        <w:textAlignment w:val="baseline"/>
        <w:rPr>
          <w:rFonts w:hint="eastAsia" w:ascii="仿宋_GB2312" w:hAnsi="仿宋_GB2312" w:eastAsia="仿宋_GB2312" w:cs="仿宋_GB2312"/>
          <w:color w:val="000000" w:themeColor="text1"/>
          <w:sz w:val="32"/>
          <w:szCs w:val="32"/>
          <w14:textFill>
            <w14:solidFill>
              <w14:schemeClr w14:val="tx1"/>
            </w14:solidFill>
          </w14:textFill>
        </w:rPr>
        <w:sectPr>
          <w:footerReference r:id="rId13" w:type="default"/>
          <w:pgSz w:w="11907" w:h="16839"/>
          <w:pgMar w:top="1421" w:right="1414" w:bottom="1341" w:left="1428" w:header="0" w:footer="1147" w:gutter="0"/>
          <w:pgNumType w:fmt="numberInDash"/>
          <w:cols w:space="720" w:num="1"/>
        </w:sectPr>
      </w:pPr>
    </w:p>
    <w:p w14:paraId="3E2FC2CE">
      <w:pPr>
        <w:ind w:left="0" w:leftChars="0" w:firstLine="0" w:firstLineChars="0"/>
        <w:jc w:val="both"/>
        <w:rPr>
          <w:rFonts w:hint="eastAsia" w:ascii="仿宋_GB2312" w:hAnsi="仿宋_GB2312" w:eastAsia="仿宋_GB2312" w:cs="仿宋_GB2312"/>
          <w:b/>
          <w:bCs/>
          <w:color w:val="000000" w:themeColor="text1"/>
          <w:szCs w:val="28"/>
          <w14:textFill>
            <w14:solidFill>
              <w14:schemeClr w14:val="tx1"/>
            </w14:solidFill>
          </w14:textFill>
        </w:rPr>
      </w:pPr>
      <w:r>
        <w:rPr>
          <w:rFonts w:hint="eastAsia" w:ascii="仿宋_GB2312" w:hAnsi="仿宋_GB2312" w:eastAsia="仿宋_GB2312" w:cs="仿宋_GB2312"/>
          <w:b/>
          <w:bCs/>
          <w:color w:val="000000" w:themeColor="text1"/>
          <w:szCs w:val="28"/>
          <w14:textFill>
            <w14:solidFill>
              <w14:schemeClr w14:val="tx1"/>
            </w14:solidFill>
          </w14:textFill>
        </w:rPr>
        <w:t>附件：</w:t>
      </w:r>
    </w:p>
    <w:p w14:paraId="5D0DDF9F">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吐鲁番恒泰矿业有限责任公司鄯善至库米什高速公路项目高昌区4号</w:t>
      </w:r>
    </w:p>
    <w:p w14:paraId="46C533F6">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b/>
          <w:bCs/>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取料场</w:t>
      </w:r>
      <w:r>
        <w:rPr>
          <w:rFonts w:hint="eastAsia" w:ascii="仿宋_GB2312" w:hAnsi="仿宋_GB2312" w:eastAsia="仿宋_GB2312" w:cs="仿宋_GB2312"/>
          <w:b/>
          <w:bCs/>
          <w:color w:val="000000" w:themeColor="text1"/>
          <w:sz w:val="28"/>
          <w:szCs w:val="28"/>
          <w14:textFill>
            <w14:solidFill>
              <w14:schemeClr w14:val="tx1"/>
            </w14:solidFill>
          </w14:textFill>
        </w:rPr>
        <w:t>矿产资源开发利用与生态保护修</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复方案》</w:t>
      </w:r>
    </w:p>
    <w:p w14:paraId="6B4917A1">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center"/>
        <w:textAlignment w:val="baseline"/>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eastAsia="zh-CN"/>
          <w14:textFill>
            <w14:solidFill>
              <w14:schemeClr w14:val="tx1"/>
            </w14:solidFill>
          </w14:textFill>
        </w:rPr>
        <w:t>评审专家组成员名单</w:t>
      </w:r>
    </w:p>
    <w:tbl>
      <w:tblPr>
        <w:tblStyle w:val="17"/>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2126"/>
        <w:gridCol w:w="2126"/>
        <w:gridCol w:w="2710"/>
      </w:tblGrid>
      <w:tr w14:paraId="188B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369E3839">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姓  名</w:t>
            </w:r>
          </w:p>
        </w:tc>
        <w:tc>
          <w:tcPr>
            <w:tcW w:w="2126" w:type="dxa"/>
            <w:vAlign w:val="center"/>
          </w:tcPr>
          <w:p w14:paraId="7623B555">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专家组成员</w:t>
            </w:r>
          </w:p>
        </w:tc>
        <w:tc>
          <w:tcPr>
            <w:tcW w:w="2126" w:type="dxa"/>
            <w:vAlign w:val="center"/>
          </w:tcPr>
          <w:p w14:paraId="71E1F541">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专</w:t>
            </w:r>
            <w:r>
              <w:rPr>
                <w:rFonts w:hint="eastAsia" w:ascii="宋体" w:hAnsi="宋体" w:eastAsia="宋体" w:cs="宋体"/>
                <w:snapToGrid/>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snapToGrid/>
                <w:color w:val="000000" w:themeColor="text1"/>
                <w:kern w:val="2"/>
                <w:sz w:val="24"/>
                <w:szCs w:val="24"/>
                <w14:textFill>
                  <w14:solidFill>
                    <w14:schemeClr w14:val="tx1"/>
                  </w14:solidFill>
                </w14:textFill>
              </w:rPr>
              <w:t xml:space="preserve">  业</w:t>
            </w:r>
          </w:p>
        </w:tc>
        <w:tc>
          <w:tcPr>
            <w:tcW w:w="2710" w:type="dxa"/>
            <w:vAlign w:val="center"/>
          </w:tcPr>
          <w:p w14:paraId="7BA4057E">
            <w:pPr>
              <w:widowControl w:val="0"/>
              <w:kinsoku/>
              <w:autoSpaceDE/>
              <w:autoSpaceDN/>
              <w:adjustRightInd/>
              <w:snapToGrid/>
              <w:ind w:left="0" w:leftChars="0" w:firstLine="0" w:firstLineChars="0"/>
              <w:jc w:val="center"/>
              <w:textAlignment w:val="auto"/>
              <w:rPr>
                <w:rFonts w:ascii="宋体" w:hAnsi="宋体" w:eastAsia="宋体" w:cs="宋体"/>
                <w:snapToGrid/>
                <w:color w:val="000000" w:themeColor="text1"/>
                <w:kern w:val="2"/>
                <w:sz w:val="24"/>
                <w:szCs w:val="24"/>
                <w14:textFill>
                  <w14:solidFill>
                    <w14:schemeClr w14:val="tx1"/>
                  </w14:solidFill>
                </w14:textFill>
              </w:rPr>
            </w:pPr>
            <w:r>
              <w:rPr>
                <w:rFonts w:hint="eastAsia" w:ascii="宋体" w:hAnsi="宋体" w:eastAsia="宋体" w:cs="宋体"/>
                <w:snapToGrid/>
                <w:color w:val="000000" w:themeColor="text1"/>
                <w:kern w:val="2"/>
                <w:sz w:val="24"/>
                <w:szCs w:val="24"/>
                <w14:textFill>
                  <w14:solidFill>
                    <w14:schemeClr w14:val="tx1"/>
                  </w14:solidFill>
                </w14:textFill>
              </w:rPr>
              <w:t>技术职称</w:t>
            </w:r>
          </w:p>
        </w:tc>
      </w:tr>
      <w:tr w14:paraId="279E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3EF87B1C">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 xml:space="preserve">罗爱民 </w:t>
            </w:r>
          </w:p>
        </w:tc>
        <w:tc>
          <w:tcPr>
            <w:tcW w:w="2126" w:type="dxa"/>
            <w:vAlign w:val="center"/>
          </w:tcPr>
          <w:p w14:paraId="678D52D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组    长</w:t>
            </w:r>
          </w:p>
        </w:tc>
        <w:tc>
          <w:tcPr>
            <w:tcW w:w="2126" w:type="dxa"/>
            <w:vAlign w:val="center"/>
          </w:tcPr>
          <w:p w14:paraId="65ED5148">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采矿工程</w:t>
            </w:r>
          </w:p>
        </w:tc>
        <w:tc>
          <w:tcPr>
            <w:tcW w:w="2710" w:type="dxa"/>
            <w:vAlign w:val="center"/>
          </w:tcPr>
          <w:p w14:paraId="5CA3357A">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r>
      <w:tr w14:paraId="2298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15EAD5D3">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黄铁栋</w:t>
            </w:r>
          </w:p>
        </w:tc>
        <w:tc>
          <w:tcPr>
            <w:tcW w:w="2126" w:type="dxa"/>
            <w:vAlign w:val="center"/>
          </w:tcPr>
          <w:p w14:paraId="63FCA045">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2126" w:type="dxa"/>
            <w:vAlign w:val="center"/>
          </w:tcPr>
          <w:p w14:paraId="1608C7FD">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水 工 环</w:t>
            </w:r>
          </w:p>
        </w:tc>
        <w:tc>
          <w:tcPr>
            <w:tcW w:w="2710" w:type="dxa"/>
            <w:vAlign w:val="center"/>
          </w:tcPr>
          <w:p w14:paraId="36F18F26">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r>
      <w:tr w14:paraId="4FE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46" w:type="dxa"/>
            <w:vAlign w:val="center"/>
          </w:tcPr>
          <w:p w14:paraId="6A2FAF33">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 xml:space="preserve"> 董维平</w:t>
            </w:r>
          </w:p>
        </w:tc>
        <w:tc>
          <w:tcPr>
            <w:tcW w:w="2126" w:type="dxa"/>
            <w:vAlign w:val="center"/>
          </w:tcPr>
          <w:p w14:paraId="2BB910AF">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评审专家</w:t>
            </w:r>
          </w:p>
        </w:tc>
        <w:tc>
          <w:tcPr>
            <w:tcW w:w="2126" w:type="dxa"/>
            <w:vAlign w:val="center"/>
          </w:tcPr>
          <w:p w14:paraId="1D3FA0E8">
            <w:pPr>
              <w:widowControl w:val="0"/>
              <w:kinsoku/>
              <w:autoSpaceDE/>
              <w:autoSpaceDN/>
              <w:adjustRightInd/>
              <w:snapToGrid/>
              <w:ind w:left="0" w:leftChars="0" w:firstLine="0" w:firstLineChars="0"/>
              <w:jc w:val="center"/>
              <w:textAlignment w:val="auto"/>
              <w:rPr>
                <w:rFonts w:hint="default"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地质矿产</w:t>
            </w:r>
          </w:p>
        </w:tc>
        <w:tc>
          <w:tcPr>
            <w:tcW w:w="2710" w:type="dxa"/>
            <w:vAlign w:val="center"/>
          </w:tcPr>
          <w:p w14:paraId="709EEBBF">
            <w:pPr>
              <w:widowControl w:val="0"/>
              <w:kinsoku/>
              <w:autoSpaceDE/>
              <w:autoSpaceDN/>
              <w:adjustRightInd/>
              <w:snapToGrid/>
              <w:ind w:left="0" w:leftChars="0" w:firstLine="0" w:firstLineChars="0"/>
              <w:jc w:val="center"/>
              <w:textAlignment w:val="auto"/>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snapToGrid/>
                <w:color w:val="000000" w:themeColor="text1"/>
                <w:spacing w:val="-6"/>
                <w:kern w:val="2"/>
                <w:sz w:val="24"/>
                <w:szCs w:val="24"/>
                <w:lang w:val="en-US" w:eastAsia="zh-CN"/>
                <w14:textFill>
                  <w14:solidFill>
                    <w14:schemeClr w14:val="tx1"/>
                  </w14:solidFill>
                </w14:textFill>
              </w:rPr>
              <w:t>高级工程师</w:t>
            </w:r>
          </w:p>
        </w:tc>
      </w:tr>
    </w:tbl>
    <w:p w14:paraId="684FF01F">
      <w:pPr>
        <w:ind w:firstLine="560"/>
        <w:rPr>
          <w:rFonts w:ascii="宋体" w:hAnsi="宋体" w:eastAsia="宋体" w:cs="宋体"/>
          <w:color w:val="000000" w:themeColor="text1"/>
          <w:szCs w:val="28"/>
          <w14:textFill>
            <w14:solidFill>
              <w14:schemeClr w14:val="tx1"/>
            </w14:solidFill>
          </w14:textFill>
        </w:rPr>
      </w:pPr>
    </w:p>
    <w:sectPr>
      <w:pgSz w:w="11907" w:h="16839"/>
      <w:pgMar w:top="1421" w:right="1414" w:bottom="1341" w:left="1428" w:header="0" w:footer="114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D50DDD-7352-4B97-88D7-BC32DE3EF8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embedRegular r:id="rId2" w:fontKey="{653B677C-9DF2-4BC2-A1C1-1E99147C3541}"/>
  </w:font>
  <w:font w:name="仿宋_GB2312">
    <w:panose1 w:val="02010609030101010101"/>
    <w:charset w:val="86"/>
    <w:family w:val="modern"/>
    <w:pitch w:val="default"/>
    <w:sig w:usb0="00000001" w:usb1="080E0000" w:usb2="00000000" w:usb3="00000000" w:csb0="00040000" w:csb1="00000000"/>
    <w:embedRegular r:id="rId3" w:fontKey="{849FC26C-213C-4286-8CC2-84B00F1FADE7}"/>
  </w:font>
  <w:font w:name="方正小标宋简体">
    <w:panose1 w:val="03000509000000000000"/>
    <w:charset w:val="86"/>
    <w:family w:val="auto"/>
    <w:pitch w:val="default"/>
    <w:sig w:usb0="00000001" w:usb1="080E0000" w:usb2="00000000" w:usb3="00000000" w:csb0="00040000" w:csb1="00000000"/>
    <w:embedRegular r:id="rId4" w:fontKey="{56CB86AD-A50B-4403-9EF2-5B16C5D4AA60}"/>
  </w:font>
  <w:font w:name="楷体">
    <w:panose1 w:val="02010609060101010101"/>
    <w:charset w:val="86"/>
    <w:family w:val="auto"/>
    <w:pitch w:val="default"/>
    <w:sig w:usb0="800002BF" w:usb1="38CF7CFA" w:usb2="00000016" w:usb3="00000000" w:csb0="00040001" w:csb1="00000000"/>
    <w:embedRegular r:id="rId5" w:fontKey="{96BFCD76-451D-40CA-BFC4-EACC6D51E1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9086">
    <w:pPr>
      <w:pStyle w:val="1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F77B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4F77B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080E">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162D">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2344">
    <w:pPr>
      <w:pStyle w:val="13"/>
      <w:ind w:firstLine="360"/>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32F9B">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932F9B">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4C71">
    <w:pPr>
      <w:pStyle w:val="13"/>
      <w:ind w:firstLine="360"/>
      <w:rPr>
        <w:szCs w:val="2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3D751">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B3D751">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4D4C">
    <w:pPr>
      <w:pStyle w:val="13"/>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98418">
                          <w:pPr>
                            <w:pStyle w:val="13"/>
                            <w:ind w:firstLine="360"/>
                            <w:jc w:val="center"/>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098418">
                    <w:pPr>
                      <w:pStyle w:val="13"/>
                      <w:ind w:firstLine="360"/>
                      <w:jc w:val="center"/>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14:paraId="1457A054">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2DF2E">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09EC">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70D1D">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CC3DB"/>
    <w:multiLevelType w:val="singleLevel"/>
    <w:tmpl w:val="C32CC3DB"/>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3YjFmYTliNzE4M2JjOTJhZTFiYmNiMzQxN2VjMzEifQ=="/>
  </w:docVars>
  <w:rsids>
    <w:rsidRoot w:val="00957750"/>
    <w:rsid w:val="000066C8"/>
    <w:rsid w:val="00015BC9"/>
    <w:rsid w:val="00023073"/>
    <w:rsid w:val="00034587"/>
    <w:rsid w:val="00035884"/>
    <w:rsid w:val="000620AB"/>
    <w:rsid w:val="00082A90"/>
    <w:rsid w:val="000A185B"/>
    <w:rsid w:val="000A7304"/>
    <w:rsid w:val="000B22DF"/>
    <w:rsid w:val="000C3170"/>
    <w:rsid w:val="000C6249"/>
    <w:rsid w:val="000C7FF5"/>
    <w:rsid w:val="000D00C6"/>
    <w:rsid w:val="000E45E0"/>
    <w:rsid w:val="00124093"/>
    <w:rsid w:val="00143D9F"/>
    <w:rsid w:val="00166FC4"/>
    <w:rsid w:val="00190124"/>
    <w:rsid w:val="001A5546"/>
    <w:rsid w:val="001B5766"/>
    <w:rsid w:val="001B7764"/>
    <w:rsid w:val="001D00BE"/>
    <w:rsid w:val="00207580"/>
    <w:rsid w:val="00224B13"/>
    <w:rsid w:val="0023670E"/>
    <w:rsid w:val="002402D9"/>
    <w:rsid w:val="0024035E"/>
    <w:rsid w:val="00274FDA"/>
    <w:rsid w:val="0028634F"/>
    <w:rsid w:val="00291C9A"/>
    <w:rsid w:val="002A723F"/>
    <w:rsid w:val="002D1321"/>
    <w:rsid w:val="002E4536"/>
    <w:rsid w:val="002E572C"/>
    <w:rsid w:val="00301E65"/>
    <w:rsid w:val="0031380D"/>
    <w:rsid w:val="0035261C"/>
    <w:rsid w:val="0035303D"/>
    <w:rsid w:val="0039022F"/>
    <w:rsid w:val="003928B8"/>
    <w:rsid w:val="003B6C45"/>
    <w:rsid w:val="003D0107"/>
    <w:rsid w:val="003E286F"/>
    <w:rsid w:val="004004D0"/>
    <w:rsid w:val="00406132"/>
    <w:rsid w:val="00431D3D"/>
    <w:rsid w:val="004435C2"/>
    <w:rsid w:val="00465788"/>
    <w:rsid w:val="0049077C"/>
    <w:rsid w:val="004947ED"/>
    <w:rsid w:val="004B3069"/>
    <w:rsid w:val="004C105C"/>
    <w:rsid w:val="004C1975"/>
    <w:rsid w:val="004E0060"/>
    <w:rsid w:val="004E788A"/>
    <w:rsid w:val="004F07E5"/>
    <w:rsid w:val="00520092"/>
    <w:rsid w:val="005324F9"/>
    <w:rsid w:val="00535DFC"/>
    <w:rsid w:val="00540599"/>
    <w:rsid w:val="005635AB"/>
    <w:rsid w:val="00564334"/>
    <w:rsid w:val="00577448"/>
    <w:rsid w:val="005A787A"/>
    <w:rsid w:val="005B0012"/>
    <w:rsid w:val="005C6ADC"/>
    <w:rsid w:val="005E4520"/>
    <w:rsid w:val="005E479B"/>
    <w:rsid w:val="00647E01"/>
    <w:rsid w:val="006740E0"/>
    <w:rsid w:val="00690EC8"/>
    <w:rsid w:val="006C4C10"/>
    <w:rsid w:val="006D69DD"/>
    <w:rsid w:val="006E632B"/>
    <w:rsid w:val="006F1EB5"/>
    <w:rsid w:val="006F53BD"/>
    <w:rsid w:val="00721BDD"/>
    <w:rsid w:val="007239CF"/>
    <w:rsid w:val="00733952"/>
    <w:rsid w:val="00753786"/>
    <w:rsid w:val="0076495D"/>
    <w:rsid w:val="00785792"/>
    <w:rsid w:val="00793B43"/>
    <w:rsid w:val="007B3456"/>
    <w:rsid w:val="007B3DC9"/>
    <w:rsid w:val="007C0A91"/>
    <w:rsid w:val="007D1FDD"/>
    <w:rsid w:val="00815068"/>
    <w:rsid w:val="008154BC"/>
    <w:rsid w:val="00815F41"/>
    <w:rsid w:val="00831094"/>
    <w:rsid w:val="00832A28"/>
    <w:rsid w:val="0084330F"/>
    <w:rsid w:val="00853CAC"/>
    <w:rsid w:val="008642B9"/>
    <w:rsid w:val="008758D0"/>
    <w:rsid w:val="008B1EA8"/>
    <w:rsid w:val="008C6DCC"/>
    <w:rsid w:val="008D4EE8"/>
    <w:rsid w:val="008F2B1D"/>
    <w:rsid w:val="00915015"/>
    <w:rsid w:val="00925B98"/>
    <w:rsid w:val="00930FD3"/>
    <w:rsid w:val="00954A2A"/>
    <w:rsid w:val="00957750"/>
    <w:rsid w:val="009A2EAE"/>
    <w:rsid w:val="009B0760"/>
    <w:rsid w:val="009B22C1"/>
    <w:rsid w:val="009B6118"/>
    <w:rsid w:val="009C2DDB"/>
    <w:rsid w:val="009C41A8"/>
    <w:rsid w:val="009D0557"/>
    <w:rsid w:val="009D0EA3"/>
    <w:rsid w:val="009D6FDC"/>
    <w:rsid w:val="009F269A"/>
    <w:rsid w:val="00A3601F"/>
    <w:rsid w:val="00A66686"/>
    <w:rsid w:val="00A66EE9"/>
    <w:rsid w:val="00A71822"/>
    <w:rsid w:val="00A7379D"/>
    <w:rsid w:val="00A73E2F"/>
    <w:rsid w:val="00A80B76"/>
    <w:rsid w:val="00A95FE9"/>
    <w:rsid w:val="00AA2B91"/>
    <w:rsid w:val="00AD7338"/>
    <w:rsid w:val="00B11A34"/>
    <w:rsid w:val="00B46918"/>
    <w:rsid w:val="00B93F2F"/>
    <w:rsid w:val="00BA3803"/>
    <w:rsid w:val="00BA5074"/>
    <w:rsid w:val="00BA5139"/>
    <w:rsid w:val="00BD4DB6"/>
    <w:rsid w:val="00BD6CA7"/>
    <w:rsid w:val="00C22A20"/>
    <w:rsid w:val="00C31512"/>
    <w:rsid w:val="00C570CF"/>
    <w:rsid w:val="00C60350"/>
    <w:rsid w:val="00C6281A"/>
    <w:rsid w:val="00C713DF"/>
    <w:rsid w:val="00C77BA7"/>
    <w:rsid w:val="00CB1982"/>
    <w:rsid w:val="00CD25F9"/>
    <w:rsid w:val="00CE4983"/>
    <w:rsid w:val="00CE75C5"/>
    <w:rsid w:val="00CF0DA0"/>
    <w:rsid w:val="00CF2932"/>
    <w:rsid w:val="00D05A6D"/>
    <w:rsid w:val="00D2527F"/>
    <w:rsid w:val="00D77544"/>
    <w:rsid w:val="00D86B80"/>
    <w:rsid w:val="00DE5B9C"/>
    <w:rsid w:val="00E37675"/>
    <w:rsid w:val="00E62F24"/>
    <w:rsid w:val="00E85251"/>
    <w:rsid w:val="00E95B73"/>
    <w:rsid w:val="00EA51F0"/>
    <w:rsid w:val="00EC4E30"/>
    <w:rsid w:val="00EE470D"/>
    <w:rsid w:val="00EF6AB5"/>
    <w:rsid w:val="00F00C05"/>
    <w:rsid w:val="00F1124E"/>
    <w:rsid w:val="00F17740"/>
    <w:rsid w:val="00F209C5"/>
    <w:rsid w:val="00F27D75"/>
    <w:rsid w:val="00F34BF7"/>
    <w:rsid w:val="00F44645"/>
    <w:rsid w:val="00F554C3"/>
    <w:rsid w:val="00F673D2"/>
    <w:rsid w:val="00F67404"/>
    <w:rsid w:val="00F72D2C"/>
    <w:rsid w:val="00F7615E"/>
    <w:rsid w:val="00F82AD1"/>
    <w:rsid w:val="00FA425F"/>
    <w:rsid w:val="00FB6D6A"/>
    <w:rsid w:val="00FC1CD0"/>
    <w:rsid w:val="01062EEC"/>
    <w:rsid w:val="01282E62"/>
    <w:rsid w:val="01453A14"/>
    <w:rsid w:val="015A3576"/>
    <w:rsid w:val="015B6D94"/>
    <w:rsid w:val="016056CA"/>
    <w:rsid w:val="017240DE"/>
    <w:rsid w:val="01787946"/>
    <w:rsid w:val="0179546C"/>
    <w:rsid w:val="017E6F26"/>
    <w:rsid w:val="01A249C3"/>
    <w:rsid w:val="01C03307"/>
    <w:rsid w:val="01D152A8"/>
    <w:rsid w:val="01E7687A"/>
    <w:rsid w:val="020A35B3"/>
    <w:rsid w:val="020E2058"/>
    <w:rsid w:val="02443CCC"/>
    <w:rsid w:val="0261662C"/>
    <w:rsid w:val="026779BA"/>
    <w:rsid w:val="026C5261"/>
    <w:rsid w:val="02902A6D"/>
    <w:rsid w:val="029F7154"/>
    <w:rsid w:val="02B96468"/>
    <w:rsid w:val="02CD36F4"/>
    <w:rsid w:val="02D92666"/>
    <w:rsid w:val="02E828A9"/>
    <w:rsid w:val="02FC45A7"/>
    <w:rsid w:val="0301396B"/>
    <w:rsid w:val="0317318F"/>
    <w:rsid w:val="033755DF"/>
    <w:rsid w:val="038D3451"/>
    <w:rsid w:val="03991DF6"/>
    <w:rsid w:val="03C50E3C"/>
    <w:rsid w:val="03CA0201"/>
    <w:rsid w:val="03CA6453"/>
    <w:rsid w:val="03CF3A69"/>
    <w:rsid w:val="03E94B2B"/>
    <w:rsid w:val="03F4702C"/>
    <w:rsid w:val="041A4972"/>
    <w:rsid w:val="042E69E2"/>
    <w:rsid w:val="043D4E77"/>
    <w:rsid w:val="04620439"/>
    <w:rsid w:val="04974587"/>
    <w:rsid w:val="04EF43C3"/>
    <w:rsid w:val="04F05A45"/>
    <w:rsid w:val="04F9561C"/>
    <w:rsid w:val="050140F6"/>
    <w:rsid w:val="05031C1C"/>
    <w:rsid w:val="052F2A11"/>
    <w:rsid w:val="052F5AAA"/>
    <w:rsid w:val="054A15F9"/>
    <w:rsid w:val="05571F68"/>
    <w:rsid w:val="05B253F0"/>
    <w:rsid w:val="05B60A3D"/>
    <w:rsid w:val="05EA4B8A"/>
    <w:rsid w:val="05F475D8"/>
    <w:rsid w:val="060D2627"/>
    <w:rsid w:val="06147E59"/>
    <w:rsid w:val="062A62BD"/>
    <w:rsid w:val="06451DC1"/>
    <w:rsid w:val="064C314F"/>
    <w:rsid w:val="064F2C3F"/>
    <w:rsid w:val="06727D6D"/>
    <w:rsid w:val="06B86A37"/>
    <w:rsid w:val="06BB2083"/>
    <w:rsid w:val="06EF389B"/>
    <w:rsid w:val="06FD269B"/>
    <w:rsid w:val="07230354"/>
    <w:rsid w:val="073C7668"/>
    <w:rsid w:val="076B5857"/>
    <w:rsid w:val="077706A0"/>
    <w:rsid w:val="0792258C"/>
    <w:rsid w:val="07A910C8"/>
    <w:rsid w:val="07BB058C"/>
    <w:rsid w:val="07C51AFC"/>
    <w:rsid w:val="07EA0E72"/>
    <w:rsid w:val="0808579C"/>
    <w:rsid w:val="088A4403"/>
    <w:rsid w:val="088A7F5F"/>
    <w:rsid w:val="0891753F"/>
    <w:rsid w:val="08CC4C0B"/>
    <w:rsid w:val="08CE609D"/>
    <w:rsid w:val="08F16230"/>
    <w:rsid w:val="09023F99"/>
    <w:rsid w:val="09554A11"/>
    <w:rsid w:val="096864F2"/>
    <w:rsid w:val="096E162E"/>
    <w:rsid w:val="096F5AD2"/>
    <w:rsid w:val="098133B4"/>
    <w:rsid w:val="09A339CE"/>
    <w:rsid w:val="09B41737"/>
    <w:rsid w:val="09C63218"/>
    <w:rsid w:val="09CF031F"/>
    <w:rsid w:val="09D41DD9"/>
    <w:rsid w:val="09DE0562"/>
    <w:rsid w:val="0A287A2F"/>
    <w:rsid w:val="0A36039E"/>
    <w:rsid w:val="0A540824"/>
    <w:rsid w:val="0A72718D"/>
    <w:rsid w:val="0A821835"/>
    <w:rsid w:val="0AC51722"/>
    <w:rsid w:val="0ACA6D38"/>
    <w:rsid w:val="0B1306DF"/>
    <w:rsid w:val="0B17653B"/>
    <w:rsid w:val="0B1D50BA"/>
    <w:rsid w:val="0B3A5853"/>
    <w:rsid w:val="0B661144"/>
    <w:rsid w:val="0B756CA4"/>
    <w:rsid w:val="0B9A670B"/>
    <w:rsid w:val="0BB35A1E"/>
    <w:rsid w:val="0BDF6813"/>
    <w:rsid w:val="0BE1433A"/>
    <w:rsid w:val="0BED0F30"/>
    <w:rsid w:val="0BF24799"/>
    <w:rsid w:val="0BF422BF"/>
    <w:rsid w:val="0C25691C"/>
    <w:rsid w:val="0C272694"/>
    <w:rsid w:val="0C4A6383"/>
    <w:rsid w:val="0C5C1C12"/>
    <w:rsid w:val="0C9475FE"/>
    <w:rsid w:val="0C965124"/>
    <w:rsid w:val="0CA830A9"/>
    <w:rsid w:val="0CDD2D53"/>
    <w:rsid w:val="0CE40585"/>
    <w:rsid w:val="0CE642FD"/>
    <w:rsid w:val="0CF63E15"/>
    <w:rsid w:val="0D076022"/>
    <w:rsid w:val="0D0F0D92"/>
    <w:rsid w:val="0D4C7ED9"/>
    <w:rsid w:val="0D51729D"/>
    <w:rsid w:val="0D6C2329"/>
    <w:rsid w:val="0D7275B2"/>
    <w:rsid w:val="0DA9532B"/>
    <w:rsid w:val="0DBF06AB"/>
    <w:rsid w:val="0DC108C7"/>
    <w:rsid w:val="0DC21F49"/>
    <w:rsid w:val="0DD24882"/>
    <w:rsid w:val="0DE3083D"/>
    <w:rsid w:val="0E0013EF"/>
    <w:rsid w:val="0E1E7AC7"/>
    <w:rsid w:val="0E344BF5"/>
    <w:rsid w:val="0E5C239D"/>
    <w:rsid w:val="0E715E49"/>
    <w:rsid w:val="0E9471C0"/>
    <w:rsid w:val="0EBE4E06"/>
    <w:rsid w:val="0EF32D02"/>
    <w:rsid w:val="0EF95E3E"/>
    <w:rsid w:val="0F052A35"/>
    <w:rsid w:val="0F056591"/>
    <w:rsid w:val="0F1862C4"/>
    <w:rsid w:val="0F205179"/>
    <w:rsid w:val="0F3375A2"/>
    <w:rsid w:val="0F394598"/>
    <w:rsid w:val="0F4A0448"/>
    <w:rsid w:val="0F711E78"/>
    <w:rsid w:val="0F7200CA"/>
    <w:rsid w:val="0F92411F"/>
    <w:rsid w:val="0FD85A54"/>
    <w:rsid w:val="0FE4264A"/>
    <w:rsid w:val="0FE8213B"/>
    <w:rsid w:val="0FE95EB3"/>
    <w:rsid w:val="10993435"/>
    <w:rsid w:val="10AE33DE"/>
    <w:rsid w:val="111331E7"/>
    <w:rsid w:val="11301FEB"/>
    <w:rsid w:val="115E01DA"/>
    <w:rsid w:val="117B0D8C"/>
    <w:rsid w:val="1196605D"/>
    <w:rsid w:val="11CC783A"/>
    <w:rsid w:val="11D010D8"/>
    <w:rsid w:val="11FF376C"/>
    <w:rsid w:val="121543C9"/>
    <w:rsid w:val="12323B41"/>
    <w:rsid w:val="124F64A1"/>
    <w:rsid w:val="126637EB"/>
    <w:rsid w:val="126A32DB"/>
    <w:rsid w:val="128679E9"/>
    <w:rsid w:val="12902616"/>
    <w:rsid w:val="129B16E6"/>
    <w:rsid w:val="12B66520"/>
    <w:rsid w:val="12BC340B"/>
    <w:rsid w:val="12C32F26"/>
    <w:rsid w:val="130628D8"/>
    <w:rsid w:val="1312127D"/>
    <w:rsid w:val="13255454"/>
    <w:rsid w:val="13763F01"/>
    <w:rsid w:val="13C44C6D"/>
    <w:rsid w:val="13D418D5"/>
    <w:rsid w:val="13DA4490"/>
    <w:rsid w:val="13F07810"/>
    <w:rsid w:val="13FD1F2D"/>
    <w:rsid w:val="14125E20"/>
    <w:rsid w:val="14186D67"/>
    <w:rsid w:val="14327E28"/>
    <w:rsid w:val="1433594E"/>
    <w:rsid w:val="143A0A8B"/>
    <w:rsid w:val="143F60A1"/>
    <w:rsid w:val="14667AD2"/>
    <w:rsid w:val="147C5547"/>
    <w:rsid w:val="149A3C1F"/>
    <w:rsid w:val="149A59CD"/>
    <w:rsid w:val="14A01236"/>
    <w:rsid w:val="14BA7E1E"/>
    <w:rsid w:val="14BB6070"/>
    <w:rsid w:val="14BE4D00"/>
    <w:rsid w:val="14C34F24"/>
    <w:rsid w:val="14DE3B0C"/>
    <w:rsid w:val="14E248D3"/>
    <w:rsid w:val="14E31122"/>
    <w:rsid w:val="14EF5D19"/>
    <w:rsid w:val="155B6F0B"/>
    <w:rsid w:val="156009C5"/>
    <w:rsid w:val="156F0C08"/>
    <w:rsid w:val="156F6E5A"/>
    <w:rsid w:val="15714980"/>
    <w:rsid w:val="15A17C28"/>
    <w:rsid w:val="15A765F4"/>
    <w:rsid w:val="15BB3382"/>
    <w:rsid w:val="15C251DC"/>
    <w:rsid w:val="15E05662"/>
    <w:rsid w:val="15E2762C"/>
    <w:rsid w:val="160475A2"/>
    <w:rsid w:val="160E0421"/>
    <w:rsid w:val="16353C00"/>
    <w:rsid w:val="16481B85"/>
    <w:rsid w:val="1695469E"/>
    <w:rsid w:val="16AC2708"/>
    <w:rsid w:val="16F5513D"/>
    <w:rsid w:val="171952CF"/>
    <w:rsid w:val="173B5246"/>
    <w:rsid w:val="175C51BC"/>
    <w:rsid w:val="177C13BA"/>
    <w:rsid w:val="177C760C"/>
    <w:rsid w:val="17836BED"/>
    <w:rsid w:val="17854713"/>
    <w:rsid w:val="178C784F"/>
    <w:rsid w:val="17BA0860"/>
    <w:rsid w:val="17D80CE7"/>
    <w:rsid w:val="17E4768B"/>
    <w:rsid w:val="17F13B56"/>
    <w:rsid w:val="17FD24FB"/>
    <w:rsid w:val="18185587"/>
    <w:rsid w:val="183B1275"/>
    <w:rsid w:val="183F48C2"/>
    <w:rsid w:val="185D76B3"/>
    <w:rsid w:val="18655F63"/>
    <w:rsid w:val="187327BD"/>
    <w:rsid w:val="187C3D68"/>
    <w:rsid w:val="187D363C"/>
    <w:rsid w:val="18CD6371"/>
    <w:rsid w:val="18CE20EA"/>
    <w:rsid w:val="18DF2466"/>
    <w:rsid w:val="18FC0A05"/>
    <w:rsid w:val="19421F3B"/>
    <w:rsid w:val="194B7296"/>
    <w:rsid w:val="1953010A"/>
    <w:rsid w:val="19837207"/>
    <w:rsid w:val="19A75624"/>
    <w:rsid w:val="19AC5F87"/>
    <w:rsid w:val="19B525C4"/>
    <w:rsid w:val="19E03E83"/>
    <w:rsid w:val="19EE47F1"/>
    <w:rsid w:val="1A2A3350"/>
    <w:rsid w:val="1A417809"/>
    <w:rsid w:val="1A501008"/>
    <w:rsid w:val="1A5328A6"/>
    <w:rsid w:val="1A646862"/>
    <w:rsid w:val="1A8B2040"/>
    <w:rsid w:val="1A987408"/>
    <w:rsid w:val="1AA44EB0"/>
    <w:rsid w:val="1AA9696A"/>
    <w:rsid w:val="1AB570BD"/>
    <w:rsid w:val="1ABC044C"/>
    <w:rsid w:val="1AD734D7"/>
    <w:rsid w:val="1ADA571C"/>
    <w:rsid w:val="1AEE0821"/>
    <w:rsid w:val="1AFA66D4"/>
    <w:rsid w:val="1AFE3183"/>
    <w:rsid w:val="1B1A7868"/>
    <w:rsid w:val="1B300E3A"/>
    <w:rsid w:val="1B55264E"/>
    <w:rsid w:val="1B6D7998"/>
    <w:rsid w:val="1B7B0307"/>
    <w:rsid w:val="1B851185"/>
    <w:rsid w:val="1BC81072"/>
    <w:rsid w:val="1BD45C69"/>
    <w:rsid w:val="1C112A19"/>
    <w:rsid w:val="1C145AD5"/>
    <w:rsid w:val="1C2F10F1"/>
    <w:rsid w:val="1C8633A9"/>
    <w:rsid w:val="1C9121E5"/>
    <w:rsid w:val="1CAB5AF6"/>
    <w:rsid w:val="1CB87339"/>
    <w:rsid w:val="1CC96E50"/>
    <w:rsid w:val="1CCE699E"/>
    <w:rsid w:val="1CD86382"/>
    <w:rsid w:val="1D0936F0"/>
    <w:rsid w:val="1D1E53EE"/>
    <w:rsid w:val="1D3A1AFC"/>
    <w:rsid w:val="1D3E15EC"/>
    <w:rsid w:val="1D7C2114"/>
    <w:rsid w:val="1D7E40DE"/>
    <w:rsid w:val="1D884F5D"/>
    <w:rsid w:val="1D9531D6"/>
    <w:rsid w:val="1D9C27B6"/>
    <w:rsid w:val="1DA17DCD"/>
    <w:rsid w:val="1DAF6046"/>
    <w:rsid w:val="1DC835AB"/>
    <w:rsid w:val="1E0B5246"/>
    <w:rsid w:val="1E2527AC"/>
    <w:rsid w:val="1E3649B9"/>
    <w:rsid w:val="1E9021D3"/>
    <w:rsid w:val="1EAC6A29"/>
    <w:rsid w:val="1EB15DEE"/>
    <w:rsid w:val="1EB92499"/>
    <w:rsid w:val="1EC27FFB"/>
    <w:rsid w:val="1EE95587"/>
    <w:rsid w:val="1EFD2558"/>
    <w:rsid w:val="1EFD7285"/>
    <w:rsid w:val="1F122D30"/>
    <w:rsid w:val="1F242A63"/>
    <w:rsid w:val="1F49071C"/>
    <w:rsid w:val="1F5275D0"/>
    <w:rsid w:val="1F6C45AE"/>
    <w:rsid w:val="1F707A57"/>
    <w:rsid w:val="1F75506D"/>
    <w:rsid w:val="1F953961"/>
    <w:rsid w:val="1FA140B4"/>
    <w:rsid w:val="1FA3607E"/>
    <w:rsid w:val="1FB21E1D"/>
    <w:rsid w:val="1FBE07C2"/>
    <w:rsid w:val="1FC64343"/>
    <w:rsid w:val="1FCB1131"/>
    <w:rsid w:val="1FDF698A"/>
    <w:rsid w:val="1FE91D68"/>
    <w:rsid w:val="1FF468DA"/>
    <w:rsid w:val="201A4426"/>
    <w:rsid w:val="20256A93"/>
    <w:rsid w:val="20410142"/>
    <w:rsid w:val="20765541"/>
    <w:rsid w:val="20790B8D"/>
    <w:rsid w:val="207C420E"/>
    <w:rsid w:val="208D63E6"/>
    <w:rsid w:val="2099122F"/>
    <w:rsid w:val="2110329F"/>
    <w:rsid w:val="212D20A3"/>
    <w:rsid w:val="21476D63"/>
    <w:rsid w:val="21674E89"/>
    <w:rsid w:val="218E2416"/>
    <w:rsid w:val="219739C1"/>
    <w:rsid w:val="21C46106"/>
    <w:rsid w:val="21D06ED2"/>
    <w:rsid w:val="21E435AA"/>
    <w:rsid w:val="21E87D78"/>
    <w:rsid w:val="21F7445F"/>
    <w:rsid w:val="21FE759C"/>
    <w:rsid w:val="22192627"/>
    <w:rsid w:val="22244B28"/>
    <w:rsid w:val="22561186"/>
    <w:rsid w:val="22590C76"/>
    <w:rsid w:val="2265586D"/>
    <w:rsid w:val="227C5782"/>
    <w:rsid w:val="22877591"/>
    <w:rsid w:val="228C104B"/>
    <w:rsid w:val="22A068A5"/>
    <w:rsid w:val="22B45EAC"/>
    <w:rsid w:val="22B61C24"/>
    <w:rsid w:val="22B91715"/>
    <w:rsid w:val="22BA5BB9"/>
    <w:rsid w:val="22C32593"/>
    <w:rsid w:val="22E70030"/>
    <w:rsid w:val="22EF5136"/>
    <w:rsid w:val="23270D74"/>
    <w:rsid w:val="233F6CE3"/>
    <w:rsid w:val="23607DE2"/>
    <w:rsid w:val="237D0994"/>
    <w:rsid w:val="237F470C"/>
    <w:rsid w:val="238166D6"/>
    <w:rsid w:val="2392443F"/>
    <w:rsid w:val="23A105E9"/>
    <w:rsid w:val="23AE6D9F"/>
    <w:rsid w:val="23B5012E"/>
    <w:rsid w:val="23C36519"/>
    <w:rsid w:val="23D3133D"/>
    <w:rsid w:val="23D700A4"/>
    <w:rsid w:val="23F70746"/>
    <w:rsid w:val="23F724F4"/>
    <w:rsid w:val="240D3AC6"/>
    <w:rsid w:val="242F3648"/>
    <w:rsid w:val="244E193E"/>
    <w:rsid w:val="24516CBE"/>
    <w:rsid w:val="248E2D16"/>
    <w:rsid w:val="24BD4B8E"/>
    <w:rsid w:val="24D9609E"/>
    <w:rsid w:val="24EF7670"/>
    <w:rsid w:val="24F353B2"/>
    <w:rsid w:val="25126CA9"/>
    <w:rsid w:val="25445C0D"/>
    <w:rsid w:val="25496D80"/>
    <w:rsid w:val="254C4AC2"/>
    <w:rsid w:val="25981AB5"/>
    <w:rsid w:val="259F4BF2"/>
    <w:rsid w:val="25BA7C7E"/>
    <w:rsid w:val="25BE7507"/>
    <w:rsid w:val="25CE197B"/>
    <w:rsid w:val="25DD3224"/>
    <w:rsid w:val="25E60A73"/>
    <w:rsid w:val="25F018F1"/>
    <w:rsid w:val="25F74A2E"/>
    <w:rsid w:val="260F621B"/>
    <w:rsid w:val="2610789E"/>
    <w:rsid w:val="261C4494"/>
    <w:rsid w:val="2623001B"/>
    <w:rsid w:val="26612D6B"/>
    <w:rsid w:val="26834513"/>
    <w:rsid w:val="26AA1AA0"/>
    <w:rsid w:val="26AC3A6A"/>
    <w:rsid w:val="26B97F35"/>
    <w:rsid w:val="27082C6B"/>
    <w:rsid w:val="27337CE7"/>
    <w:rsid w:val="27767BD4"/>
    <w:rsid w:val="27A940A4"/>
    <w:rsid w:val="27B150B0"/>
    <w:rsid w:val="27B5694E"/>
    <w:rsid w:val="27D03788"/>
    <w:rsid w:val="27DF39CB"/>
    <w:rsid w:val="27F427FC"/>
    <w:rsid w:val="281D44F4"/>
    <w:rsid w:val="282B3F32"/>
    <w:rsid w:val="28302479"/>
    <w:rsid w:val="284A74CB"/>
    <w:rsid w:val="285C501C"/>
    <w:rsid w:val="287405B8"/>
    <w:rsid w:val="287D7ED0"/>
    <w:rsid w:val="287F0D0A"/>
    <w:rsid w:val="28852C5D"/>
    <w:rsid w:val="288602EB"/>
    <w:rsid w:val="288D7C6A"/>
    <w:rsid w:val="28A864EB"/>
    <w:rsid w:val="28A95D87"/>
    <w:rsid w:val="28AF339E"/>
    <w:rsid w:val="28D41056"/>
    <w:rsid w:val="28ED2118"/>
    <w:rsid w:val="290556B4"/>
    <w:rsid w:val="29064F88"/>
    <w:rsid w:val="29121B7F"/>
    <w:rsid w:val="291476A5"/>
    <w:rsid w:val="292A6EC8"/>
    <w:rsid w:val="293E0BC6"/>
    <w:rsid w:val="2940049A"/>
    <w:rsid w:val="296E1BB1"/>
    <w:rsid w:val="29C42E79"/>
    <w:rsid w:val="29F15C38"/>
    <w:rsid w:val="2A077209"/>
    <w:rsid w:val="2A081A28"/>
    <w:rsid w:val="2A0B4F4C"/>
    <w:rsid w:val="2A12304A"/>
    <w:rsid w:val="2A1262DA"/>
    <w:rsid w:val="2A2B2EF8"/>
    <w:rsid w:val="2A3D0E7D"/>
    <w:rsid w:val="2A704DAF"/>
    <w:rsid w:val="2A7A3E7F"/>
    <w:rsid w:val="2A7D0899"/>
    <w:rsid w:val="2A9C2048"/>
    <w:rsid w:val="2AAA4765"/>
    <w:rsid w:val="2ACF5F79"/>
    <w:rsid w:val="2B1716CE"/>
    <w:rsid w:val="2B255DA9"/>
    <w:rsid w:val="2B2D4A4E"/>
    <w:rsid w:val="2B485D2C"/>
    <w:rsid w:val="2B7B1C5D"/>
    <w:rsid w:val="2BB138D1"/>
    <w:rsid w:val="2BF51A0F"/>
    <w:rsid w:val="2BFC5462"/>
    <w:rsid w:val="2C1B33C6"/>
    <w:rsid w:val="2C5D75B5"/>
    <w:rsid w:val="2C646D6B"/>
    <w:rsid w:val="2C7C5C8D"/>
    <w:rsid w:val="2CA451E4"/>
    <w:rsid w:val="2CD72C54"/>
    <w:rsid w:val="2CE657FC"/>
    <w:rsid w:val="2CFD0E66"/>
    <w:rsid w:val="2D0143E4"/>
    <w:rsid w:val="2D087520"/>
    <w:rsid w:val="2D173C07"/>
    <w:rsid w:val="2D287BC3"/>
    <w:rsid w:val="2D2A0EC9"/>
    <w:rsid w:val="2D430559"/>
    <w:rsid w:val="2D4744ED"/>
    <w:rsid w:val="2D524C40"/>
    <w:rsid w:val="2D595FCE"/>
    <w:rsid w:val="2D662499"/>
    <w:rsid w:val="2D686211"/>
    <w:rsid w:val="2D6A01DB"/>
    <w:rsid w:val="2D9214E0"/>
    <w:rsid w:val="2D9C04A0"/>
    <w:rsid w:val="2DC84F02"/>
    <w:rsid w:val="2DEC0BF0"/>
    <w:rsid w:val="2E074F7B"/>
    <w:rsid w:val="2E25003C"/>
    <w:rsid w:val="2E334E31"/>
    <w:rsid w:val="2E3877F2"/>
    <w:rsid w:val="2E61338C"/>
    <w:rsid w:val="2E756E38"/>
    <w:rsid w:val="2E7806D6"/>
    <w:rsid w:val="2EB51324"/>
    <w:rsid w:val="2EB84F76"/>
    <w:rsid w:val="2EC72420"/>
    <w:rsid w:val="2EE31FF3"/>
    <w:rsid w:val="2EE87609"/>
    <w:rsid w:val="2EFC1307"/>
    <w:rsid w:val="2F1C5505"/>
    <w:rsid w:val="2F212B1B"/>
    <w:rsid w:val="2F4F7689"/>
    <w:rsid w:val="2F6649D2"/>
    <w:rsid w:val="2F8A08CC"/>
    <w:rsid w:val="2FAF0127"/>
    <w:rsid w:val="2FF975F4"/>
    <w:rsid w:val="3011493E"/>
    <w:rsid w:val="30185CCC"/>
    <w:rsid w:val="30EE2ED1"/>
    <w:rsid w:val="31093867"/>
    <w:rsid w:val="3126266B"/>
    <w:rsid w:val="3139239E"/>
    <w:rsid w:val="316E7B6E"/>
    <w:rsid w:val="317433D6"/>
    <w:rsid w:val="317E6003"/>
    <w:rsid w:val="318B536B"/>
    <w:rsid w:val="31B436BD"/>
    <w:rsid w:val="31C14142"/>
    <w:rsid w:val="31DE4CF4"/>
    <w:rsid w:val="31E56082"/>
    <w:rsid w:val="31E7004C"/>
    <w:rsid w:val="32171FB4"/>
    <w:rsid w:val="32384404"/>
    <w:rsid w:val="32717916"/>
    <w:rsid w:val="32E97DF4"/>
    <w:rsid w:val="33174961"/>
    <w:rsid w:val="331A77C2"/>
    <w:rsid w:val="334E4C19"/>
    <w:rsid w:val="33560942"/>
    <w:rsid w:val="33753436"/>
    <w:rsid w:val="337C47C4"/>
    <w:rsid w:val="33865643"/>
    <w:rsid w:val="339733AC"/>
    <w:rsid w:val="339C09C3"/>
    <w:rsid w:val="33A44776"/>
    <w:rsid w:val="33A63194"/>
    <w:rsid w:val="33DC5263"/>
    <w:rsid w:val="344F3C87"/>
    <w:rsid w:val="34594B05"/>
    <w:rsid w:val="347436ED"/>
    <w:rsid w:val="34831B82"/>
    <w:rsid w:val="348E0C53"/>
    <w:rsid w:val="34983880"/>
    <w:rsid w:val="34FF56AD"/>
    <w:rsid w:val="35076310"/>
    <w:rsid w:val="3557344C"/>
    <w:rsid w:val="35683252"/>
    <w:rsid w:val="357716E7"/>
    <w:rsid w:val="358B5193"/>
    <w:rsid w:val="35A149B6"/>
    <w:rsid w:val="35D102BC"/>
    <w:rsid w:val="360771BA"/>
    <w:rsid w:val="360A0F8C"/>
    <w:rsid w:val="36525CB0"/>
    <w:rsid w:val="365915D2"/>
    <w:rsid w:val="36B10C29"/>
    <w:rsid w:val="36B27B41"/>
    <w:rsid w:val="36C86902"/>
    <w:rsid w:val="36CC5A63"/>
    <w:rsid w:val="36D13079"/>
    <w:rsid w:val="36E27034"/>
    <w:rsid w:val="36E96615"/>
    <w:rsid w:val="36FF1994"/>
    <w:rsid w:val="3700570C"/>
    <w:rsid w:val="373972A7"/>
    <w:rsid w:val="374B4BD9"/>
    <w:rsid w:val="37585548"/>
    <w:rsid w:val="375C0B95"/>
    <w:rsid w:val="375D66BB"/>
    <w:rsid w:val="376A0DBC"/>
    <w:rsid w:val="378B3228"/>
    <w:rsid w:val="379E11AD"/>
    <w:rsid w:val="37B207B5"/>
    <w:rsid w:val="37B81B43"/>
    <w:rsid w:val="37CA01F4"/>
    <w:rsid w:val="37E56DDC"/>
    <w:rsid w:val="37EA43F2"/>
    <w:rsid w:val="37EE2BEA"/>
    <w:rsid w:val="380134EA"/>
    <w:rsid w:val="383E473E"/>
    <w:rsid w:val="383E7EED"/>
    <w:rsid w:val="3857135C"/>
    <w:rsid w:val="38581532"/>
    <w:rsid w:val="386A108F"/>
    <w:rsid w:val="386F387F"/>
    <w:rsid w:val="38A722E3"/>
    <w:rsid w:val="38A74091"/>
    <w:rsid w:val="38B4055C"/>
    <w:rsid w:val="39006C13"/>
    <w:rsid w:val="390B0AC4"/>
    <w:rsid w:val="392E4F96"/>
    <w:rsid w:val="39421F20"/>
    <w:rsid w:val="398C14D9"/>
    <w:rsid w:val="39A00A71"/>
    <w:rsid w:val="39A71956"/>
    <w:rsid w:val="39DE1D35"/>
    <w:rsid w:val="39E11825"/>
    <w:rsid w:val="3A1439A9"/>
    <w:rsid w:val="3A173499"/>
    <w:rsid w:val="3A257964"/>
    <w:rsid w:val="3A345DF9"/>
    <w:rsid w:val="3A563FC1"/>
    <w:rsid w:val="3A72247D"/>
    <w:rsid w:val="3A946897"/>
    <w:rsid w:val="3AA765CB"/>
    <w:rsid w:val="3B6C4028"/>
    <w:rsid w:val="3B974891"/>
    <w:rsid w:val="3BAB1079"/>
    <w:rsid w:val="3BD038FF"/>
    <w:rsid w:val="3BD333EF"/>
    <w:rsid w:val="3BFC46F4"/>
    <w:rsid w:val="3C2F484C"/>
    <w:rsid w:val="3C3420E0"/>
    <w:rsid w:val="3C3527D5"/>
    <w:rsid w:val="3C5207B8"/>
    <w:rsid w:val="3C8C1F1C"/>
    <w:rsid w:val="3CA60B04"/>
    <w:rsid w:val="3CAB1C76"/>
    <w:rsid w:val="3CB66F99"/>
    <w:rsid w:val="3CD15B81"/>
    <w:rsid w:val="3CD4741F"/>
    <w:rsid w:val="3CDB07AE"/>
    <w:rsid w:val="3CDB255C"/>
    <w:rsid w:val="3CEF4259"/>
    <w:rsid w:val="3D015D3A"/>
    <w:rsid w:val="3D17730C"/>
    <w:rsid w:val="3D1B6DFC"/>
    <w:rsid w:val="3D4A5933"/>
    <w:rsid w:val="3D4F4CF8"/>
    <w:rsid w:val="3D537E59"/>
    <w:rsid w:val="3D583BAC"/>
    <w:rsid w:val="3D6D517E"/>
    <w:rsid w:val="3DDB658B"/>
    <w:rsid w:val="3DF15DAF"/>
    <w:rsid w:val="3DF7373D"/>
    <w:rsid w:val="3DF912B5"/>
    <w:rsid w:val="3E03671E"/>
    <w:rsid w:val="3E067AAC"/>
    <w:rsid w:val="3E1F46CA"/>
    <w:rsid w:val="3E300685"/>
    <w:rsid w:val="3E344619"/>
    <w:rsid w:val="3E444130"/>
    <w:rsid w:val="3E5A1BA6"/>
    <w:rsid w:val="3EE55913"/>
    <w:rsid w:val="3F2200A2"/>
    <w:rsid w:val="3F275F2C"/>
    <w:rsid w:val="3F3E6DD2"/>
    <w:rsid w:val="3F8F587F"/>
    <w:rsid w:val="3F9769DD"/>
    <w:rsid w:val="3FA94B93"/>
    <w:rsid w:val="3FE61943"/>
    <w:rsid w:val="3FE91433"/>
    <w:rsid w:val="401E4DD9"/>
    <w:rsid w:val="402E5098"/>
    <w:rsid w:val="403703F1"/>
    <w:rsid w:val="40A84E4B"/>
    <w:rsid w:val="40BB2DD0"/>
    <w:rsid w:val="41173D7E"/>
    <w:rsid w:val="413608FA"/>
    <w:rsid w:val="41490391"/>
    <w:rsid w:val="41831414"/>
    <w:rsid w:val="41986C6D"/>
    <w:rsid w:val="41A27AEC"/>
    <w:rsid w:val="41C2018E"/>
    <w:rsid w:val="41C850AD"/>
    <w:rsid w:val="41FF0A9A"/>
    <w:rsid w:val="42366486"/>
    <w:rsid w:val="42424E2B"/>
    <w:rsid w:val="4249440B"/>
    <w:rsid w:val="425D3A13"/>
    <w:rsid w:val="43106CD7"/>
    <w:rsid w:val="431D1023"/>
    <w:rsid w:val="432B59D9"/>
    <w:rsid w:val="43346E69"/>
    <w:rsid w:val="43476B9D"/>
    <w:rsid w:val="435C1F1C"/>
    <w:rsid w:val="437372DB"/>
    <w:rsid w:val="43882D11"/>
    <w:rsid w:val="438C2802"/>
    <w:rsid w:val="43963680"/>
    <w:rsid w:val="43B9111D"/>
    <w:rsid w:val="43D877F5"/>
    <w:rsid w:val="442A5B77"/>
    <w:rsid w:val="446A0634"/>
    <w:rsid w:val="44A678F3"/>
    <w:rsid w:val="44AB6087"/>
    <w:rsid w:val="44B33DBE"/>
    <w:rsid w:val="44C23E37"/>
    <w:rsid w:val="44F901B8"/>
    <w:rsid w:val="44FD328B"/>
    <w:rsid w:val="45101210"/>
    <w:rsid w:val="452847AC"/>
    <w:rsid w:val="453E18DA"/>
    <w:rsid w:val="458E4869"/>
    <w:rsid w:val="459338F2"/>
    <w:rsid w:val="45B21B65"/>
    <w:rsid w:val="46144D30"/>
    <w:rsid w:val="462C207A"/>
    <w:rsid w:val="465670F7"/>
    <w:rsid w:val="465B64BB"/>
    <w:rsid w:val="466B2BA2"/>
    <w:rsid w:val="4674757D"/>
    <w:rsid w:val="467D0B27"/>
    <w:rsid w:val="46A012BC"/>
    <w:rsid w:val="46B53E1D"/>
    <w:rsid w:val="46B75F04"/>
    <w:rsid w:val="46C17060"/>
    <w:rsid w:val="46C67DD9"/>
    <w:rsid w:val="46CC73B9"/>
    <w:rsid w:val="46DF0E9A"/>
    <w:rsid w:val="46E110B6"/>
    <w:rsid w:val="46E12E64"/>
    <w:rsid w:val="46E42955"/>
    <w:rsid w:val="46E841F3"/>
    <w:rsid w:val="47084895"/>
    <w:rsid w:val="471A6376"/>
    <w:rsid w:val="476D64A6"/>
    <w:rsid w:val="47775577"/>
    <w:rsid w:val="47777325"/>
    <w:rsid w:val="47F941DE"/>
    <w:rsid w:val="47FC60BB"/>
    <w:rsid w:val="483B65A4"/>
    <w:rsid w:val="48515DC8"/>
    <w:rsid w:val="48535EE5"/>
    <w:rsid w:val="486024AF"/>
    <w:rsid w:val="489108BA"/>
    <w:rsid w:val="48BF0F83"/>
    <w:rsid w:val="48C55FA1"/>
    <w:rsid w:val="49025314"/>
    <w:rsid w:val="49117305"/>
    <w:rsid w:val="49284D7B"/>
    <w:rsid w:val="492C1D2E"/>
    <w:rsid w:val="49374FBE"/>
    <w:rsid w:val="494551C9"/>
    <w:rsid w:val="49AD0F5D"/>
    <w:rsid w:val="49C5081B"/>
    <w:rsid w:val="49C83E68"/>
    <w:rsid w:val="49CB3958"/>
    <w:rsid w:val="4A04505A"/>
    <w:rsid w:val="4A154318"/>
    <w:rsid w:val="4A4A0D21"/>
    <w:rsid w:val="4A6C513B"/>
    <w:rsid w:val="4A7E09CA"/>
    <w:rsid w:val="4A7F4E6E"/>
    <w:rsid w:val="4A963F66"/>
    <w:rsid w:val="4A9B157C"/>
    <w:rsid w:val="4AA30431"/>
    <w:rsid w:val="4AAC19DB"/>
    <w:rsid w:val="4AB4263E"/>
    <w:rsid w:val="4B005883"/>
    <w:rsid w:val="4B12572C"/>
    <w:rsid w:val="4B3F0159"/>
    <w:rsid w:val="4B524331"/>
    <w:rsid w:val="4B62342E"/>
    <w:rsid w:val="4BA44460"/>
    <w:rsid w:val="4BB548C0"/>
    <w:rsid w:val="4BCD7E5B"/>
    <w:rsid w:val="4C2F6420"/>
    <w:rsid w:val="4C3025F1"/>
    <w:rsid w:val="4C3E48B5"/>
    <w:rsid w:val="4C4A14AC"/>
    <w:rsid w:val="4C4D4AF8"/>
    <w:rsid w:val="4C516396"/>
    <w:rsid w:val="4C602A7D"/>
    <w:rsid w:val="4C806C7C"/>
    <w:rsid w:val="4C9D5A7F"/>
    <w:rsid w:val="4C9E5354"/>
    <w:rsid w:val="4CA23096"/>
    <w:rsid w:val="4CF520D9"/>
    <w:rsid w:val="4D0F7FFF"/>
    <w:rsid w:val="4D16138E"/>
    <w:rsid w:val="4D245859"/>
    <w:rsid w:val="4D3857A8"/>
    <w:rsid w:val="4D8E361A"/>
    <w:rsid w:val="4D8E53C8"/>
    <w:rsid w:val="4DA1334D"/>
    <w:rsid w:val="4DA478AD"/>
    <w:rsid w:val="4DBC1F35"/>
    <w:rsid w:val="4DBF37D4"/>
    <w:rsid w:val="4DC1579E"/>
    <w:rsid w:val="4DCE3A17"/>
    <w:rsid w:val="4E393FC3"/>
    <w:rsid w:val="4E402B66"/>
    <w:rsid w:val="4E516B22"/>
    <w:rsid w:val="4E54216E"/>
    <w:rsid w:val="4E594FF4"/>
    <w:rsid w:val="4E8A3DE2"/>
    <w:rsid w:val="4E9C3BCC"/>
    <w:rsid w:val="4ED71923"/>
    <w:rsid w:val="4EE771E2"/>
    <w:rsid w:val="4EEA2AD2"/>
    <w:rsid w:val="4EF9194B"/>
    <w:rsid w:val="4F2A1121"/>
    <w:rsid w:val="4F3F510F"/>
    <w:rsid w:val="4F42646A"/>
    <w:rsid w:val="4F5A37B4"/>
    <w:rsid w:val="4F7B6DCD"/>
    <w:rsid w:val="4F8151E4"/>
    <w:rsid w:val="4FAD6032"/>
    <w:rsid w:val="4FB947AA"/>
    <w:rsid w:val="4FBF5D0D"/>
    <w:rsid w:val="4FCE41A2"/>
    <w:rsid w:val="4FE70DC0"/>
    <w:rsid w:val="4FF359B6"/>
    <w:rsid w:val="4FFD0EF1"/>
    <w:rsid w:val="500D6A78"/>
    <w:rsid w:val="50146D57"/>
    <w:rsid w:val="50250266"/>
    <w:rsid w:val="50281B04"/>
    <w:rsid w:val="504F0E3F"/>
    <w:rsid w:val="50650662"/>
    <w:rsid w:val="5075461D"/>
    <w:rsid w:val="50B74C36"/>
    <w:rsid w:val="50BB2978"/>
    <w:rsid w:val="50C57353"/>
    <w:rsid w:val="50C7131D"/>
    <w:rsid w:val="51053BF3"/>
    <w:rsid w:val="51071719"/>
    <w:rsid w:val="510936E3"/>
    <w:rsid w:val="510E0CFA"/>
    <w:rsid w:val="51172F9F"/>
    <w:rsid w:val="511A41BF"/>
    <w:rsid w:val="51271DBC"/>
    <w:rsid w:val="51532795"/>
    <w:rsid w:val="51695F30"/>
    <w:rsid w:val="51B82A14"/>
    <w:rsid w:val="51B86EB8"/>
    <w:rsid w:val="51BC5C5D"/>
    <w:rsid w:val="51E1640E"/>
    <w:rsid w:val="51F55A16"/>
    <w:rsid w:val="51FF6894"/>
    <w:rsid w:val="5201257C"/>
    <w:rsid w:val="52311B45"/>
    <w:rsid w:val="52691F60"/>
    <w:rsid w:val="52A336C4"/>
    <w:rsid w:val="52A66D10"/>
    <w:rsid w:val="52BD6456"/>
    <w:rsid w:val="52D95337"/>
    <w:rsid w:val="52E96C30"/>
    <w:rsid w:val="532760A3"/>
    <w:rsid w:val="533B1B4E"/>
    <w:rsid w:val="53486019"/>
    <w:rsid w:val="534A3B3F"/>
    <w:rsid w:val="53591FD4"/>
    <w:rsid w:val="53683F40"/>
    <w:rsid w:val="536A2750"/>
    <w:rsid w:val="536C0A8D"/>
    <w:rsid w:val="536C61AC"/>
    <w:rsid w:val="53894668"/>
    <w:rsid w:val="538A5F1E"/>
    <w:rsid w:val="539D601D"/>
    <w:rsid w:val="53DD49B3"/>
    <w:rsid w:val="53E43F94"/>
    <w:rsid w:val="53E915AA"/>
    <w:rsid w:val="53F00B8B"/>
    <w:rsid w:val="53F32429"/>
    <w:rsid w:val="53F8359B"/>
    <w:rsid w:val="54077C82"/>
    <w:rsid w:val="540E52E5"/>
    <w:rsid w:val="54751090"/>
    <w:rsid w:val="547F3CBD"/>
    <w:rsid w:val="54837309"/>
    <w:rsid w:val="54890697"/>
    <w:rsid w:val="54996B2C"/>
    <w:rsid w:val="549A28A4"/>
    <w:rsid w:val="54A75C14"/>
    <w:rsid w:val="54C05F9B"/>
    <w:rsid w:val="54C55B73"/>
    <w:rsid w:val="54D45DB6"/>
    <w:rsid w:val="54D71BBA"/>
    <w:rsid w:val="54F975CB"/>
    <w:rsid w:val="54FC530D"/>
    <w:rsid w:val="5539030F"/>
    <w:rsid w:val="55A25EB5"/>
    <w:rsid w:val="55C71477"/>
    <w:rsid w:val="55C951EF"/>
    <w:rsid w:val="55E0078B"/>
    <w:rsid w:val="56024BA5"/>
    <w:rsid w:val="56026953"/>
    <w:rsid w:val="560C1580"/>
    <w:rsid w:val="56292132"/>
    <w:rsid w:val="56350AD7"/>
    <w:rsid w:val="564E1B99"/>
    <w:rsid w:val="569A4DDE"/>
    <w:rsid w:val="56AC3D25"/>
    <w:rsid w:val="56B0015D"/>
    <w:rsid w:val="56B7773E"/>
    <w:rsid w:val="56CF2CD9"/>
    <w:rsid w:val="56FE0B98"/>
    <w:rsid w:val="571132F2"/>
    <w:rsid w:val="5726041F"/>
    <w:rsid w:val="572B1EDA"/>
    <w:rsid w:val="57413F34"/>
    <w:rsid w:val="57445BAF"/>
    <w:rsid w:val="57527466"/>
    <w:rsid w:val="577675F9"/>
    <w:rsid w:val="57821FCB"/>
    <w:rsid w:val="579B2BBB"/>
    <w:rsid w:val="57A06D7A"/>
    <w:rsid w:val="57BB14B0"/>
    <w:rsid w:val="57D16F79"/>
    <w:rsid w:val="57DD31D4"/>
    <w:rsid w:val="57EF4CB5"/>
    <w:rsid w:val="57F81DBC"/>
    <w:rsid w:val="57F95B34"/>
    <w:rsid w:val="580C3AB9"/>
    <w:rsid w:val="5834469F"/>
    <w:rsid w:val="5838665C"/>
    <w:rsid w:val="583E407C"/>
    <w:rsid w:val="58676F42"/>
    <w:rsid w:val="587527B8"/>
    <w:rsid w:val="58767185"/>
    <w:rsid w:val="588D5626"/>
    <w:rsid w:val="58BA3515"/>
    <w:rsid w:val="58D8399B"/>
    <w:rsid w:val="58E42340"/>
    <w:rsid w:val="596C4444"/>
    <w:rsid w:val="59736FAA"/>
    <w:rsid w:val="598D4786"/>
    <w:rsid w:val="59A87812"/>
    <w:rsid w:val="59FC376B"/>
    <w:rsid w:val="5A2040C5"/>
    <w:rsid w:val="5A311DCE"/>
    <w:rsid w:val="5A5A7FB5"/>
    <w:rsid w:val="5A932270"/>
    <w:rsid w:val="5ADD173D"/>
    <w:rsid w:val="5AE42ACB"/>
    <w:rsid w:val="5AFA22EF"/>
    <w:rsid w:val="5B0942E0"/>
    <w:rsid w:val="5B215ACE"/>
    <w:rsid w:val="5B4B2A39"/>
    <w:rsid w:val="5B6B6D49"/>
    <w:rsid w:val="5B70435F"/>
    <w:rsid w:val="5B762D1A"/>
    <w:rsid w:val="5B7F6563"/>
    <w:rsid w:val="5BAA7871"/>
    <w:rsid w:val="5BC326E1"/>
    <w:rsid w:val="5BCF63A9"/>
    <w:rsid w:val="5BE865EB"/>
    <w:rsid w:val="5C2A09B2"/>
    <w:rsid w:val="5C3655A9"/>
    <w:rsid w:val="5C5B0B6B"/>
    <w:rsid w:val="5C5D2B35"/>
    <w:rsid w:val="5C5F065B"/>
    <w:rsid w:val="5C6739B4"/>
    <w:rsid w:val="5C983B6D"/>
    <w:rsid w:val="5CD252D1"/>
    <w:rsid w:val="5D2B49E2"/>
    <w:rsid w:val="5D2C0F26"/>
    <w:rsid w:val="5D323FC2"/>
    <w:rsid w:val="5D3C6BEF"/>
    <w:rsid w:val="5D494E68"/>
    <w:rsid w:val="5D5C2DED"/>
    <w:rsid w:val="5D861C18"/>
    <w:rsid w:val="5D9C58DF"/>
    <w:rsid w:val="5DAB167E"/>
    <w:rsid w:val="5DB04EE7"/>
    <w:rsid w:val="5DB22A0D"/>
    <w:rsid w:val="5DBE13B2"/>
    <w:rsid w:val="5DEA21A7"/>
    <w:rsid w:val="5DF43025"/>
    <w:rsid w:val="5E0314BA"/>
    <w:rsid w:val="5E0771FD"/>
    <w:rsid w:val="5E272D49"/>
    <w:rsid w:val="5E3616AF"/>
    <w:rsid w:val="5E5F0DE7"/>
    <w:rsid w:val="5E6463FD"/>
    <w:rsid w:val="5EAE1426"/>
    <w:rsid w:val="5EBA41F7"/>
    <w:rsid w:val="5ECE3876"/>
    <w:rsid w:val="5ED66BCF"/>
    <w:rsid w:val="5EDB19DD"/>
    <w:rsid w:val="5F225970"/>
    <w:rsid w:val="5F70492E"/>
    <w:rsid w:val="5F9A19AB"/>
    <w:rsid w:val="5FB921BD"/>
    <w:rsid w:val="5FBF3369"/>
    <w:rsid w:val="5FE315A4"/>
    <w:rsid w:val="5FE36423"/>
    <w:rsid w:val="5FEB7114"/>
    <w:rsid w:val="5FF84015"/>
    <w:rsid w:val="60145C01"/>
    <w:rsid w:val="60196D73"/>
    <w:rsid w:val="60396BAB"/>
    <w:rsid w:val="60597AB8"/>
    <w:rsid w:val="6088744F"/>
    <w:rsid w:val="608E7761"/>
    <w:rsid w:val="60A800F7"/>
    <w:rsid w:val="60BB607C"/>
    <w:rsid w:val="60C413D5"/>
    <w:rsid w:val="60E05AE3"/>
    <w:rsid w:val="60F878A0"/>
    <w:rsid w:val="610D086E"/>
    <w:rsid w:val="61532759"/>
    <w:rsid w:val="616404C2"/>
    <w:rsid w:val="61693D2A"/>
    <w:rsid w:val="618D5C6B"/>
    <w:rsid w:val="619D39D4"/>
    <w:rsid w:val="61A46B11"/>
    <w:rsid w:val="61E11B13"/>
    <w:rsid w:val="61EB2991"/>
    <w:rsid w:val="61FC06FB"/>
    <w:rsid w:val="620F6680"/>
    <w:rsid w:val="6256605D"/>
    <w:rsid w:val="62606EDB"/>
    <w:rsid w:val="62A0377C"/>
    <w:rsid w:val="62A96AD4"/>
    <w:rsid w:val="63147CC6"/>
    <w:rsid w:val="632105B4"/>
    <w:rsid w:val="633B34A5"/>
    <w:rsid w:val="634C3904"/>
    <w:rsid w:val="635822A8"/>
    <w:rsid w:val="6370314E"/>
    <w:rsid w:val="63780255"/>
    <w:rsid w:val="637C7D45"/>
    <w:rsid w:val="638C3D00"/>
    <w:rsid w:val="638D1F52"/>
    <w:rsid w:val="63AE011A"/>
    <w:rsid w:val="63B270A2"/>
    <w:rsid w:val="63B53257"/>
    <w:rsid w:val="63CE60C7"/>
    <w:rsid w:val="63D25BB7"/>
    <w:rsid w:val="641461CF"/>
    <w:rsid w:val="64153CF6"/>
    <w:rsid w:val="6449399F"/>
    <w:rsid w:val="645C7B76"/>
    <w:rsid w:val="64630F05"/>
    <w:rsid w:val="64BE25DF"/>
    <w:rsid w:val="64F23B79"/>
    <w:rsid w:val="650A1380"/>
    <w:rsid w:val="65420B1A"/>
    <w:rsid w:val="65654809"/>
    <w:rsid w:val="659B022A"/>
    <w:rsid w:val="659F5F6D"/>
    <w:rsid w:val="65B57F02"/>
    <w:rsid w:val="65B65064"/>
    <w:rsid w:val="65E9543A"/>
    <w:rsid w:val="65ED1C09"/>
    <w:rsid w:val="65F63CF3"/>
    <w:rsid w:val="65FE0EE5"/>
    <w:rsid w:val="66061B48"/>
    <w:rsid w:val="66087601"/>
    <w:rsid w:val="660E6C4E"/>
    <w:rsid w:val="661A55F3"/>
    <w:rsid w:val="66214BD4"/>
    <w:rsid w:val="6646288C"/>
    <w:rsid w:val="66703465"/>
    <w:rsid w:val="668B64F1"/>
    <w:rsid w:val="66A7157D"/>
    <w:rsid w:val="66B9305E"/>
    <w:rsid w:val="66D24120"/>
    <w:rsid w:val="66F422E8"/>
    <w:rsid w:val="671D04B7"/>
    <w:rsid w:val="67B57CC9"/>
    <w:rsid w:val="682409AB"/>
    <w:rsid w:val="68460921"/>
    <w:rsid w:val="686E1C26"/>
    <w:rsid w:val="687F5BE1"/>
    <w:rsid w:val="689E69AF"/>
    <w:rsid w:val="68C44E48"/>
    <w:rsid w:val="68E44A7D"/>
    <w:rsid w:val="68F4037D"/>
    <w:rsid w:val="68F465CF"/>
    <w:rsid w:val="69272501"/>
    <w:rsid w:val="69513A22"/>
    <w:rsid w:val="69586B5E"/>
    <w:rsid w:val="6965127B"/>
    <w:rsid w:val="69714AFC"/>
    <w:rsid w:val="69823BDB"/>
    <w:rsid w:val="6985191D"/>
    <w:rsid w:val="69877444"/>
    <w:rsid w:val="698931BC"/>
    <w:rsid w:val="69A41DA4"/>
    <w:rsid w:val="69AB1384"/>
    <w:rsid w:val="69CE4E6D"/>
    <w:rsid w:val="69CE6E20"/>
    <w:rsid w:val="6A6432E1"/>
    <w:rsid w:val="6A723C50"/>
    <w:rsid w:val="6A845731"/>
    <w:rsid w:val="6AA302AD"/>
    <w:rsid w:val="6AC02C0D"/>
    <w:rsid w:val="6AD40467"/>
    <w:rsid w:val="6AE54422"/>
    <w:rsid w:val="6AF503DD"/>
    <w:rsid w:val="6AF6662F"/>
    <w:rsid w:val="6B293C1E"/>
    <w:rsid w:val="6B6537B4"/>
    <w:rsid w:val="6B92605F"/>
    <w:rsid w:val="6B9F03FA"/>
    <w:rsid w:val="6BA3608B"/>
    <w:rsid w:val="6BAD2A66"/>
    <w:rsid w:val="6BB12556"/>
    <w:rsid w:val="6BB34520"/>
    <w:rsid w:val="6BD864AF"/>
    <w:rsid w:val="6BEC7A20"/>
    <w:rsid w:val="6C0E1756"/>
    <w:rsid w:val="6C4D6722"/>
    <w:rsid w:val="6C523D39"/>
    <w:rsid w:val="6C891725"/>
    <w:rsid w:val="6CA732C1"/>
    <w:rsid w:val="6CAE4CE7"/>
    <w:rsid w:val="6CBD2B3B"/>
    <w:rsid w:val="6CC4275D"/>
    <w:rsid w:val="6CD26C28"/>
    <w:rsid w:val="6CD56A99"/>
    <w:rsid w:val="6D082649"/>
    <w:rsid w:val="6D0A2431"/>
    <w:rsid w:val="6D2F5E28"/>
    <w:rsid w:val="6D3451EC"/>
    <w:rsid w:val="6D350F65"/>
    <w:rsid w:val="6D4A0EB4"/>
    <w:rsid w:val="6D5B4E6F"/>
    <w:rsid w:val="6D5C4743"/>
    <w:rsid w:val="6D6331C4"/>
    <w:rsid w:val="6D6655C2"/>
    <w:rsid w:val="6D806684"/>
    <w:rsid w:val="6D9126D1"/>
    <w:rsid w:val="6D9E4D5C"/>
    <w:rsid w:val="6DC72505"/>
    <w:rsid w:val="6E0A23F1"/>
    <w:rsid w:val="6E0E7C22"/>
    <w:rsid w:val="6E1F7C4B"/>
    <w:rsid w:val="6E250FD9"/>
    <w:rsid w:val="6E4E250D"/>
    <w:rsid w:val="6E9248C1"/>
    <w:rsid w:val="6EB81E4D"/>
    <w:rsid w:val="6ECB1B80"/>
    <w:rsid w:val="6ED22F0F"/>
    <w:rsid w:val="6EED1AF7"/>
    <w:rsid w:val="6EFF5CCE"/>
    <w:rsid w:val="6F2F210F"/>
    <w:rsid w:val="6F8256B0"/>
    <w:rsid w:val="6F8561D3"/>
    <w:rsid w:val="6FA04DBB"/>
    <w:rsid w:val="6FAA487E"/>
    <w:rsid w:val="6FBB39A3"/>
    <w:rsid w:val="6FDF7997"/>
    <w:rsid w:val="70052E70"/>
    <w:rsid w:val="70090BB2"/>
    <w:rsid w:val="702A0B29"/>
    <w:rsid w:val="702A28D7"/>
    <w:rsid w:val="70643DB9"/>
    <w:rsid w:val="70757FF6"/>
    <w:rsid w:val="707B1384"/>
    <w:rsid w:val="70822713"/>
    <w:rsid w:val="70A94143"/>
    <w:rsid w:val="70C96594"/>
    <w:rsid w:val="70D016D0"/>
    <w:rsid w:val="70F42B31"/>
    <w:rsid w:val="71123A97"/>
    <w:rsid w:val="711F4406"/>
    <w:rsid w:val="713779A1"/>
    <w:rsid w:val="71687B5B"/>
    <w:rsid w:val="716F2C97"/>
    <w:rsid w:val="71A46EE4"/>
    <w:rsid w:val="71A60683"/>
    <w:rsid w:val="720B16BC"/>
    <w:rsid w:val="720D24B0"/>
    <w:rsid w:val="723920F5"/>
    <w:rsid w:val="72444124"/>
    <w:rsid w:val="727A5D97"/>
    <w:rsid w:val="727E6F0A"/>
    <w:rsid w:val="72866D81"/>
    <w:rsid w:val="72AB765B"/>
    <w:rsid w:val="72AF5315"/>
    <w:rsid w:val="72DD6326"/>
    <w:rsid w:val="72F35429"/>
    <w:rsid w:val="732D2E0A"/>
    <w:rsid w:val="733D0EC9"/>
    <w:rsid w:val="734576C0"/>
    <w:rsid w:val="735A7977"/>
    <w:rsid w:val="73CD1EF7"/>
    <w:rsid w:val="73D2750D"/>
    <w:rsid w:val="74016CFC"/>
    <w:rsid w:val="74152B15"/>
    <w:rsid w:val="74273CFD"/>
    <w:rsid w:val="743261FE"/>
    <w:rsid w:val="743D1AC6"/>
    <w:rsid w:val="7443040B"/>
    <w:rsid w:val="74674908"/>
    <w:rsid w:val="749F1AE5"/>
    <w:rsid w:val="74C27582"/>
    <w:rsid w:val="74EE0377"/>
    <w:rsid w:val="752C1A9F"/>
    <w:rsid w:val="753F5076"/>
    <w:rsid w:val="755C1784"/>
    <w:rsid w:val="756248C1"/>
    <w:rsid w:val="758962F1"/>
    <w:rsid w:val="7596337E"/>
    <w:rsid w:val="75B3511C"/>
    <w:rsid w:val="75BF3AC1"/>
    <w:rsid w:val="75C630A2"/>
    <w:rsid w:val="75D532E5"/>
    <w:rsid w:val="75DF462B"/>
    <w:rsid w:val="75E43528"/>
    <w:rsid w:val="75FC2F67"/>
    <w:rsid w:val="760E0CF3"/>
    <w:rsid w:val="76107B3E"/>
    <w:rsid w:val="76206C56"/>
    <w:rsid w:val="76366479"/>
    <w:rsid w:val="763F1B26"/>
    <w:rsid w:val="768C6099"/>
    <w:rsid w:val="76912177"/>
    <w:rsid w:val="76A71125"/>
    <w:rsid w:val="76FB6D7B"/>
    <w:rsid w:val="770E2F52"/>
    <w:rsid w:val="77185B7F"/>
    <w:rsid w:val="77286F9E"/>
    <w:rsid w:val="7733135F"/>
    <w:rsid w:val="77471FC0"/>
    <w:rsid w:val="77514BED"/>
    <w:rsid w:val="775C1F10"/>
    <w:rsid w:val="775D17E4"/>
    <w:rsid w:val="775D7A36"/>
    <w:rsid w:val="77884AB3"/>
    <w:rsid w:val="779F0687"/>
    <w:rsid w:val="77A1631C"/>
    <w:rsid w:val="77A318EC"/>
    <w:rsid w:val="77C81353"/>
    <w:rsid w:val="77C90C27"/>
    <w:rsid w:val="77DC095A"/>
    <w:rsid w:val="77DF669D"/>
    <w:rsid w:val="77EC7614"/>
    <w:rsid w:val="77F02658"/>
    <w:rsid w:val="77F11957"/>
    <w:rsid w:val="782B3690"/>
    <w:rsid w:val="78370287"/>
    <w:rsid w:val="784309DA"/>
    <w:rsid w:val="78436C2C"/>
    <w:rsid w:val="784C1F84"/>
    <w:rsid w:val="785C7CED"/>
    <w:rsid w:val="78727511"/>
    <w:rsid w:val="78852DA0"/>
    <w:rsid w:val="788F00C3"/>
    <w:rsid w:val="78CC6C21"/>
    <w:rsid w:val="78D43D28"/>
    <w:rsid w:val="78D67AA0"/>
    <w:rsid w:val="78D855C6"/>
    <w:rsid w:val="78DD5F7E"/>
    <w:rsid w:val="78EA52F9"/>
    <w:rsid w:val="792A3948"/>
    <w:rsid w:val="7962698E"/>
    <w:rsid w:val="797F1EE5"/>
    <w:rsid w:val="79BC4EE7"/>
    <w:rsid w:val="79E93C90"/>
    <w:rsid w:val="7A1C5986"/>
    <w:rsid w:val="7A4B0019"/>
    <w:rsid w:val="7A4C15A9"/>
    <w:rsid w:val="7A5A025C"/>
    <w:rsid w:val="7A5B64AE"/>
    <w:rsid w:val="7A7B26AD"/>
    <w:rsid w:val="7A8E43D0"/>
    <w:rsid w:val="7AA91FC1"/>
    <w:rsid w:val="7AB43E11"/>
    <w:rsid w:val="7AB95650"/>
    <w:rsid w:val="7AC83418"/>
    <w:rsid w:val="7ADB139D"/>
    <w:rsid w:val="7B0F21BC"/>
    <w:rsid w:val="7B241751"/>
    <w:rsid w:val="7B590514"/>
    <w:rsid w:val="7B5E3C11"/>
    <w:rsid w:val="7B640A94"/>
    <w:rsid w:val="7B737828"/>
    <w:rsid w:val="7B7F7F7B"/>
    <w:rsid w:val="7BA9149B"/>
    <w:rsid w:val="7BE6624C"/>
    <w:rsid w:val="7C06244A"/>
    <w:rsid w:val="7C1F52BA"/>
    <w:rsid w:val="7C350F81"/>
    <w:rsid w:val="7C3C7C24"/>
    <w:rsid w:val="7C4B60AF"/>
    <w:rsid w:val="7C594C70"/>
    <w:rsid w:val="7C943EFA"/>
    <w:rsid w:val="7CAD6D69"/>
    <w:rsid w:val="7CCA70B9"/>
    <w:rsid w:val="7D0A7D18"/>
    <w:rsid w:val="7D3B4375"/>
    <w:rsid w:val="7D420DC8"/>
    <w:rsid w:val="7D792545"/>
    <w:rsid w:val="7D7B29C4"/>
    <w:rsid w:val="7D827C5E"/>
    <w:rsid w:val="7D944A96"/>
    <w:rsid w:val="7DAB199B"/>
    <w:rsid w:val="7DEE13E8"/>
    <w:rsid w:val="7DF12C86"/>
    <w:rsid w:val="7DF14474"/>
    <w:rsid w:val="7E0C6F66"/>
    <w:rsid w:val="7E2468D4"/>
    <w:rsid w:val="7E6E2528"/>
    <w:rsid w:val="7E6F0948"/>
    <w:rsid w:val="7E8A59B9"/>
    <w:rsid w:val="7EC65EC0"/>
    <w:rsid w:val="7ED4682F"/>
    <w:rsid w:val="7F0709B3"/>
    <w:rsid w:val="7F477001"/>
    <w:rsid w:val="7F58120E"/>
    <w:rsid w:val="7F5D6825"/>
    <w:rsid w:val="7F8738A2"/>
    <w:rsid w:val="7F9D1317"/>
    <w:rsid w:val="7FB4040F"/>
    <w:rsid w:val="7FBA7420"/>
    <w:rsid w:val="7FE17456"/>
    <w:rsid w:val="7FE56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560" w:lineRule="exact"/>
      <w:ind w:firstLine="200" w:firstLineChars="200"/>
      <w:jc w:val="both"/>
      <w:textAlignment w:val="baseline"/>
    </w:pPr>
    <w:rPr>
      <w:rFonts w:ascii="Arial" w:hAnsi="Arial" w:eastAsia="Arial" w:cs="Arial"/>
      <w:snapToGrid w:val="0"/>
      <w:color w:val="000000"/>
      <w:sz w:val="28"/>
      <w:szCs w:val="21"/>
      <w:lang w:val="en-US" w:eastAsia="zh-CN" w:bidi="ar-SA"/>
    </w:rPr>
  </w:style>
  <w:style w:type="paragraph" w:styleId="2">
    <w:name w:val="heading 3"/>
    <w:basedOn w:val="1"/>
    <w:next w:val="1"/>
    <w:link w:val="27"/>
    <w:autoRedefine/>
    <w:unhideWhenUsed/>
    <w:qFormat/>
    <w:uiPriority w:val="0"/>
    <w:pPr>
      <w:keepNext/>
      <w:keepLines/>
      <w:widowControl w:val="0"/>
      <w:kinsoku/>
      <w:autoSpaceDE/>
      <w:autoSpaceDN/>
      <w:adjustRightInd/>
      <w:snapToGrid/>
      <w:spacing w:beforeLines="50" w:afterLines="50" w:line="500" w:lineRule="exact"/>
      <w:ind w:firstLine="561"/>
      <w:textAlignment w:val="auto"/>
      <w:outlineLvl w:val="2"/>
    </w:pPr>
    <w:rPr>
      <w:rFonts w:ascii="Times New Roman" w:hAnsi="Times New Roman" w:eastAsia="宋体" w:cs="Times New Roman"/>
      <w:b/>
      <w:bCs/>
      <w:snapToGrid/>
      <w:color w:val="auto"/>
      <w:kern w:val="2"/>
      <w:szCs w:val="32"/>
    </w:rPr>
  </w:style>
  <w:style w:type="paragraph" w:styleId="3">
    <w:name w:val="heading 4"/>
    <w:basedOn w:val="1"/>
    <w:next w:val="1"/>
    <w:autoRedefine/>
    <w:qFormat/>
    <w:uiPriority w:val="0"/>
    <w:pPr>
      <w:keepNext/>
      <w:keepLines/>
      <w:spacing w:beforeLines="50" w:afterLines="50"/>
      <w:outlineLvl w:val="3"/>
    </w:pPr>
    <w:rPr>
      <w:rFonts w:ascii="Arial" w:hAnsi="Arial"/>
      <w:b/>
      <w:bCs/>
      <w:szCs w:val="28"/>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8"/>
    <w:autoRedefine/>
    <w:qFormat/>
    <w:uiPriority w:val="0"/>
    <w:rPr>
      <w:rFonts w:ascii="宋体" w:eastAsia="宋体"/>
      <w:sz w:val="18"/>
      <w:szCs w:val="18"/>
    </w:rPr>
  </w:style>
  <w:style w:type="paragraph" w:styleId="5">
    <w:name w:val="annotation text"/>
    <w:basedOn w:val="1"/>
    <w:autoRedefine/>
    <w:qFormat/>
    <w:uiPriority w:val="0"/>
    <w:pPr>
      <w:jc w:val="left"/>
    </w:pPr>
  </w:style>
  <w:style w:type="paragraph" w:styleId="6">
    <w:name w:val="Body Text"/>
    <w:basedOn w:val="1"/>
    <w:next w:val="7"/>
    <w:link w:val="26"/>
    <w:autoRedefine/>
    <w:qFormat/>
    <w:uiPriority w:val="0"/>
    <w:pPr>
      <w:spacing w:after="120"/>
    </w:pPr>
  </w:style>
  <w:style w:type="paragraph" w:customStyle="1" w:styleId="7">
    <w:name w:val="Default"/>
    <w:next w:val="1"/>
    <w:autoRedefine/>
    <w:qFormat/>
    <w:uiPriority w:val="0"/>
    <w:pPr>
      <w:widowControl w:val="0"/>
      <w:autoSpaceDE w:val="0"/>
      <w:autoSpaceDN w:val="0"/>
      <w:adjustRightInd w:val="0"/>
    </w:pPr>
    <w:rPr>
      <w:rFonts w:ascii="宋体" w:hAnsi="宋体" w:eastAsia="宋体" w:cs="Times New Roman"/>
      <w:color w:val="000000"/>
      <w:sz w:val="24"/>
      <w:lang w:val="en-US" w:eastAsia="zh-CN" w:bidi="ar-SA"/>
    </w:rPr>
  </w:style>
  <w:style w:type="paragraph" w:styleId="8">
    <w:name w:val="Body Text Indent"/>
    <w:basedOn w:val="1"/>
    <w:next w:val="9"/>
    <w:link w:val="32"/>
    <w:autoRedefine/>
    <w:qFormat/>
    <w:uiPriority w:val="99"/>
    <w:pPr>
      <w:spacing w:line="500" w:lineRule="exact"/>
      <w:ind w:firstLine="420"/>
    </w:pPr>
    <w:rPr>
      <w:sz w:val="32"/>
      <w:szCs w:val="20"/>
    </w:rPr>
  </w:style>
  <w:style w:type="paragraph" w:styleId="9">
    <w:name w:val="Body Text First Indent"/>
    <w:basedOn w:val="1"/>
    <w:autoRedefine/>
    <w:qFormat/>
    <w:uiPriority w:val="0"/>
    <w:pPr>
      <w:spacing w:line="440" w:lineRule="exact"/>
      <w:ind w:firstLine="504"/>
    </w:pPr>
    <w:rPr>
      <w:sz w:val="21"/>
    </w:rPr>
  </w:style>
  <w:style w:type="paragraph" w:styleId="10">
    <w:name w:val="Plain Text"/>
    <w:basedOn w:val="1"/>
    <w:next w:val="11"/>
    <w:autoRedefine/>
    <w:qFormat/>
    <w:uiPriority w:val="99"/>
    <w:rPr>
      <w:rFonts w:ascii="宋体" w:hAnsi="Courier New"/>
      <w:sz w:val="21"/>
    </w:rPr>
  </w:style>
  <w:style w:type="paragraph" w:styleId="11">
    <w:name w:val="List Number 5"/>
    <w:basedOn w:val="1"/>
    <w:next w:val="9"/>
    <w:autoRedefine/>
    <w:qFormat/>
    <w:uiPriority w:val="0"/>
    <w:pPr>
      <w:numPr>
        <w:ilvl w:val="0"/>
        <w:numId w:val="1"/>
      </w:numPr>
    </w:pPr>
  </w:style>
  <w:style w:type="paragraph" w:styleId="12">
    <w:name w:val="Balloon Text"/>
    <w:basedOn w:val="1"/>
    <w:link w:val="25"/>
    <w:autoRedefine/>
    <w:qFormat/>
    <w:uiPriority w:val="0"/>
    <w:rPr>
      <w:sz w:val="18"/>
      <w:szCs w:val="18"/>
    </w:rPr>
  </w:style>
  <w:style w:type="paragraph" w:styleId="13">
    <w:name w:val="footer"/>
    <w:basedOn w:val="1"/>
    <w:link w:val="23"/>
    <w:autoRedefine/>
    <w:qFormat/>
    <w:uiPriority w:val="99"/>
    <w:pPr>
      <w:tabs>
        <w:tab w:val="center" w:pos="4153"/>
        <w:tab w:val="right" w:pos="8306"/>
      </w:tabs>
    </w:pPr>
    <w:rPr>
      <w:sz w:val="18"/>
      <w:szCs w:val="18"/>
    </w:rPr>
  </w:style>
  <w:style w:type="paragraph" w:styleId="14">
    <w:name w:val="header"/>
    <w:basedOn w:val="1"/>
    <w:link w:val="22"/>
    <w:autoRedefine/>
    <w:qFormat/>
    <w:uiPriority w:val="0"/>
    <w:pPr>
      <w:pBdr>
        <w:bottom w:val="single" w:color="auto" w:sz="6" w:space="1"/>
      </w:pBdr>
      <w:tabs>
        <w:tab w:val="center" w:pos="4153"/>
        <w:tab w:val="right" w:pos="8306"/>
      </w:tabs>
      <w:jc w:val="center"/>
    </w:pPr>
    <w:rPr>
      <w:sz w:val="18"/>
      <w:szCs w:val="18"/>
    </w:rPr>
  </w:style>
  <w:style w:type="paragraph" w:styleId="15">
    <w:name w:val="List Continue 4"/>
    <w:basedOn w:val="1"/>
    <w:next w:val="1"/>
    <w:autoRedefine/>
    <w:qFormat/>
    <w:uiPriority w:val="0"/>
    <w:pPr>
      <w:widowControl w:val="0"/>
      <w:autoSpaceDE/>
      <w:autoSpaceDN/>
      <w:spacing w:before="0" w:after="120" w:line="360" w:lineRule="auto"/>
      <w:ind w:left="1680" w:firstLine="480"/>
      <w:jc w:val="both"/>
    </w:pPr>
    <w:rPr>
      <w:rFonts w:ascii="宋体" w:eastAsia="宋体"/>
      <w:sz w:val="24"/>
    </w:rPr>
  </w:style>
  <w:style w:type="paragraph" w:styleId="16">
    <w:name w:val="Body Text First Indent 2"/>
    <w:basedOn w:val="1"/>
    <w:next w:val="15"/>
    <w:link w:val="31"/>
    <w:autoRedefine/>
    <w:qFormat/>
    <w:uiPriority w:val="99"/>
    <w:pPr>
      <w:spacing w:after="120" w:line="240" w:lineRule="auto"/>
      <w:ind w:left="420" w:leftChars="200"/>
    </w:pPr>
    <w:rPr>
      <w:sz w:val="21"/>
    </w:rPr>
  </w:style>
  <w:style w:type="character" w:styleId="19">
    <w:name w:val="annotation reference"/>
    <w:basedOn w:val="18"/>
    <w:autoRedefine/>
    <w:qFormat/>
    <w:uiPriority w:val="0"/>
    <w:rPr>
      <w:sz w:val="21"/>
      <w:szCs w:val="21"/>
    </w:rPr>
  </w:style>
  <w:style w:type="paragraph" w:customStyle="1" w:styleId="20">
    <w:name w:val="xx正文"/>
    <w:basedOn w:val="1"/>
    <w:autoRedefine/>
    <w:qFormat/>
    <w:uiPriority w:val="0"/>
    <w:rPr>
      <w:szCs w:val="28"/>
    </w:rPr>
  </w:style>
  <w:style w:type="table" w:customStyle="1" w:styleId="21">
    <w:name w:val="Table Normal"/>
    <w:autoRedefine/>
    <w:qFormat/>
    <w:uiPriority w:val="0"/>
    <w:tblPr>
      <w:tblCellMar>
        <w:top w:w="0" w:type="dxa"/>
        <w:left w:w="0" w:type="dxa"/>
        <w:bottom w:w="0" w:type="dxa"/>
        <w:right w:w="0" w:type="dxa"/>
      </w:tblCellMar>
    </w:tblPr>
  </w:style>
  <w:style w:type="character" w:customStyle="1" w:styleId="22">
    <w:name w:val="页眉 字符"/>
    <w:basedOn w:val="18"/>
    <w:link w:val="14"/>
    <w:autoRedefine/>
    <w:qFormat/>
    <w:uiPriority w:val="0"/>
    <w:rPr>
      <w:rFonts w:eastAsia="Arial"/>
      <w:snapToGrid w:val="0"/>
      <w:color w:val="000000"/>
      <w:sz w:val="18"/>
      <w:szCs w:val="18"/>
    </w:rPr>
  </w:style>
  <w:style w:type="character" w:customStyle="1" w:styleId="23">
    <w:name w:val="页脚 字符"/>
    <w:basedOn w:val="18"/>
    <w:link w:val="13"/>
    <w:autoRedefine/>
    <w:qFormat/>
    <w:uiPriority w:val="99"/>
    <w:rPr>
      <w:rFonts w:eastAsia="Arial"/>
      <w:snapToGrid w:val="0"/>
      <w:color w:val="000000"/>
      <w:sz w:val="18"/>
      <w:szCs w:val="18"/>
    </w:rPr>
  </w:style>
  <w:style w:type="paragraph" w:styleId="24">
    <w:name w:val="List Paragraph"/>
    <w:basedOn w:val="1"/>
    <w:autoRedefine/>
    <w:qFormat/>
    <w:uiPriority w:val="99"/>
    <w:pPr>
      <w:ind w:firstLine="420"/>
    </w:pPr>
  </w:style>
  <w:style w:type="character" w:customStyle="1" w:styleId="25">
    <w:name w:val="批注框文本 字符"/>
    <w:basedOn w:val="18"/>
    <w:link w:val="12"/>
    <w:autoRedefine/>
    <w:qFormat/>
    <w:uiPriority w:val="0"/>
    <w:rPr>
      <w:rFonts w:eastAsia="Arial"/>
      <w:snapToGrid w:val="0"/>
      <w:color w:val="000000"/>
      <w:sz w:val="18"/>
      <w:szCs w:val="18"/>
    </w:rPr>
  </w:style>
  <w:style w:type="character" w:customStyle="1" w:styleId="26">
    <w:name w:val="正文文本 字符"/>
    <w:basedOn w:val="18"/>
    <w:link w:val="6"/>
    <w:autoRedefine/>
    <w:qFormat/>
    <w:uiPriority w:val="0"/>
    <w:rPr>
      <w:rFonts w:eastAsia="Arial"/>
      <w:snapToGrid w:val="0"/>
      <w:color w:val="000000"/>
      <w:sz w:val="21"/>
      <w:szCs w:val="21"/>
    </w:rPr>
  </w:style>
  <w:style w:type="character" w:customStyle="1" w:styleId="27">
    <w:name w:val="标题 3 字符"/>
    <w:basedOn w:val="18"/>
    <w:link w:val="2"/>
    <w:autoRedefine/>
    <w:qFormat/>
    <w:uiPriority w:val="0"/>
    <w:rPr>
      <w:rFonts w:ascii="Times New Roman" w:hAnsi="Times New Roman" w:cs="Times New Roman"/>
      <w:b/>
      <w:bCs/>
      <w:kern w:val="2"/>
      <w:sz w:val="28"/>
      <w:szCs w:val="32"/>
    </w:rPr>
  </w:style>
  <w:style w:type="character" w:customStyle="1" w:styleId="28">
    <w:name w:val="文档结构图 字符"/>
    <w:basedOn w:val="18"/>
    <w:link w:val="4"/>
    <w:autoRedefine/>
    <w:qFormat/>
    <w:uiPriority w:val="0"/>
    <w:rPr>
      <w:rFonts w:ascii="宋体"/>
      <w:snapToGrid w:val="0"/>
      <w:color w:val="000000"/>
      <w:sz w:val="18"/>
      <w:szCs w:val="18"/>
    </w:rPr>
  </w:style>
  <w:style w:type="paragraph" w:customStyle="1" w:styleId="29">
    <w:name w:val="表格"/>
    <w:basedOn w:val="1"/>
    <w:link w:val="30"/>
    <w:autoRedefine/>
    <w:qFormat/>
    <w:uiPriority w:val="0"/>
    <w:pPr>
      <w:spacing w:line="240" w:lineRule="auto"/>
      <w:ind w:firstLine="0" w:firstLineChars="0"/>
      <w:jc w:val="center"/>
    </w:pPr>
    <w:rPr>
      <w:rFonts w:ascii="宋体" w:hAnsi="宋体" w:eastAsia="仿宋" w:cs="宋体"/>
      <w:sz w:val="21"/>
    </w:rPr>
  </w:style>
  <w:style w:type="character" w:customStyle="1" w:styleId="30">
    <w:name w:val="表格 字符"/>
    <w:basedOn w:val="18"/>
    <w:link w:val="29"/>
    <w:autoRedefine/>
    <w:qFormat/>
    <w:uiPriority w:val="0"/>
    <w:rPr>
      <w:rFonts w:ascii="宋体" w:hAnsi="宋体" w:eastAsia="仿宋" w:cs="宋体"/>
      <w:snapToGrid w:val="0"/>
      <w:color w:val="000000"/>
      <w:sz w:val="21"/>
      <w:szCs w:val="21"/>
    </w:rPr>
  </w:style>
  <w:style w:type="character" w:customStyle="1" w:styleId="31">
    <w:name w:val="正文首行缩进 2 字符"/>
    <w:basedOn w:val="32"/>
    <w:link w:val="16"/>
    <w:autoRedefine/>
    <w:qFormat/>
    <w:uiPriority w:val="0"/>
    <w:rPr>
      <w:kern w:val="2"/>
      <w:sz w:val="28"/>
      <w:szCs w:val="24"/>
    </w:rPr>
  </w:style>
  <w:style w:type="character" w:customStyle="1" w:styleId="32">
    <w:name w:val="正文文本缩进 字符"/>
    <w:basedOn w:val="18"/>
    <w:link w:val="8"/>
    <w:autoRedefine/>
    <w:qFormat/>
    <w:uiPriority w:val="0"/>
    <w:rPr>
      <w:kern w:val="2"/>
      <w:sz w:val="28"/>
      <w:szCs w:val="24"/>
    </w:rPr>
  </w:style>
  <w:style w:type="paragraph" w:customStyle="1" w:styleId="33">
    <w:name w:val="别动"/>
    <w:basedOn w:val="34"/>
    <w:autoRedefine/>
    <w:qFormat/>
    <w:uiPriority w:val="0"/>
    <w:pPr>
      <w:spacing w:line="340" w:lineRule="exact"/>
    </w:pPr>
    <w:rPr>
      <w:rFonts w:ascii="Times New Roman" w:hAnsi="Times New Roman" w:eastAsia="宋体"/>
      <w:b w:val="0"/>
      <w:sz w:val="21"/>
    </w:rPr>
  </w:style>
  <w:style w:type="paragraph" w:customStyle="1" w:styleId="34">
    <w:name w:val="表头"/>
    <w:basedOn w:val="1"/>
    <w:next w:val="33"/>
    <w:autoRedefine/>
    <w:qFormat/>
    <w:uiPriority w:val="0"/>
    <w:pPr>
      <w:spacing w:line="240" w:lineRule="auto"/>
      <w:ind w:firstLine="0" w:firstLineChars="0"/>
      <w:jc w:val="center"/>
    </w:pPr>
    <w:rPr>
      <w:rFonts w:hint="eastAsia" w:cs="Times New Roman"/>
      <w:b/>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5920</Words>
  <Characters>6304</Characters>
  <Lines>62</Lines>
  <Paragraphs>17</Paragraphs>
  <TotalTime>9</TotalTime>
  <ScaleCrop>false</ScaleCrop>
  <LinksUpToDate>false</LinksUpToDate>
  <CharactersWithSpaces>6341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2021-12-29T17:45:00Z</dcterms:created>
  <dc:creator>游明华(办公室)</dc:creator>
  <cp:lastModifiedBy>自由</cp:lastModifiedBy>
  <cp:lastPrinted>2025-10-10T03:10:00Z</cp:lastPrinted>
  <dcterms:modified xsi:type="dcterms:W3CDTF">2025-10-10T10:58:04Z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2021-12-30T19:57:07Z</vt:filetime>
  </property>
  <property fmtid="{D5CDD505-2E9C-101B-9397-08002B2CF9AE}" pid="4" name="KSOProductBuildVer">
    <vt:lpwstr>2052-12.1.0.22529</vt:lpwstr>
  </property>
  <property fmtid="{D5CDD505-2E9C-101B-9397-08002B2CF9AE}" pid="5" name="ICV">
    <vt:lpwstr>46BD293C18A94A6DB57B0636C51FE7D3_13</vt:lpwstr>
  </property>
  <property fmtid="{D5CDD505-2E9C-101B-9397-08002B2CF9AE}" pid="6" name="KSOTemplateDocerSaveRecord">
    <vt:lpwstr>eyJoZGlkIjoiZDcwYWI5ZDc0NWJkMGM5ZTEwODhlZGJkOTcxYmY3N2QiLCJ1c2VySWQiOiIyNzM1NDA3NTcifQ==</vt:lpwstr>
  </property>
</Properties>
</file>