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F312">
      <w:pPr>
        <w:keepNext w:val="0"/>
        <w:keepLines w:val="0"/>
        <w:pageBreakBefore w:val="0"/>
        <w:widowControl/>
        <w:kinsoku w:val="0"/>
        <w:wordWrap/>
        <w:overflowPunct/>
        <w:topLinePunct w:val="0"/>
        <w:autoSpaceDE w:val="0"/>
        <w:autoSpaceDN w:val="0"/>
        <w:bidi w:val="0"/>
        <w:adjustRightInd w:val="0"/>
        <w:snapToGrid w:val="0"/>
        <w:spacing w:line="460" w:lineRule="exact"/>
        <w:ind w:firstLine="208" w:firstLineChars="50"/>
        <w:jc w:val="center"/>
        <w:textAlignment w:val="baseline"/>
        <w:rPr>
          <w:rFonts w:ascii="宋体" w:hAnsi="宋体" w:eastAsia="宋体" w:cs="宋体"/>
          <w:spacing w:val="-12"/>
          <w:sz w:val="44"/>
          <w:szCs w:val="44"/>
        </w:rPr>
      </w:pPr>
    </w:p>
    <w:p w14:paraId="38BB93B2">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jc w:val="both"/>
        <w:textAlignment w:val="baseline"/>
        <w:rPr>
          <w:rFonts w:ascii="宋体" w:hAnsi="宋体" w:eastAsia="宋体" w:cs="宋体"/>
          <w:spacing w:val="-12"/>
          <w:sz w:val="44"/>
          <w:szCs w:val="44"/>
        </w:rPr>
      </w:pPr>
    </w:p>
    <w:p w14:paraId="460A11A8">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关于对《新疆天行伟健建工集团有限公司</w:t>
      </w:r>
    </w:p>
    <w:p w14:paraId="3AC2F3A0">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新疆吐鲁番市葡萄沟北侧七号建筑用砂矿</w:t>
      </w:r>
    </w:p>
    <w:p w14:paraId="56125280">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矿产资源开发利用与生态保护修复方案》</w:t>
      </w:r>
    </w:p>
    <w:p w14:paraId="0CFF8EA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spacing w:val="20"/>
          <w:kern w:val="2"/>
          <w:sz w:val="44"/>
          <w:szCs w:val="44"/>
        </w:rPr>
      </w:pPr>
      <w:r>
        <w:rPr>
          <w:rFonts w:hint="eastAsia" w:ascii="方正粗黑宋简体" w:hAnsi="方正粗黑宋简体" w:eastAsia="方正粗黑宋简体" w:cs="方正粗黑宋简体"/>
          <w:bCs/>
          <w:snapToGrid/>
          <w:spacing w:val="20"/>
          <w:kern w:val="2"/>
          <w:sz w:val="44"/>
          <w:szCs w:val="44"/>
        </w:rPr>
        <w:t>专家意见</w:t>
      </w:r>
      <w:r>
        <w:rPr>
          <w:rFonts w:hint="eastAsia" w:ascii="方正粗黑宋简体" w:hAnsi="方正粗黑宋简体" w:eastAsia="方正粗黑宋简体" w:cs="方正粗黑宋简体"/>
          <w:bCs/>
          <w:snapToGrid/>
          <w:spacing w:val="20"/>
          <w:kern w:val="2"/>
          <w:sz w:val="44"/>
          <w:szCs w:val="44"/>
          <w:lang w:val="en-US" w:eastAsia="zh-CN"/>
        </w:rPr>
        <w:t>的</w:t>
      </w:r>
      <w:r>
        <w:rPr>
          <w:rFonts w:hint="eastAsia" w:ascii="方正粗黑宋简体" w:hAnsi="方正粗黑宋简体" w:eastAsia="方正粗黑宋简体" w:cs="方正粗黑宋简体"/>
          <w:bCs/>
          <w:snapToGrid/>
          <w:spacing w:val="20"/>
          <w:kern w:val="2"/>
          <w:sz w:val="44"/>
          <w:szCs w:val="44"/>
        </w:rPr>
        <w:t>认定</w:t>
      </w:r>
    </w:p>
    <w:p w14:paraId="4D63A080">
      <w:pPr>
        <w:pStyle w:val="15"/>
        <w:keepNext w:val="0"/>
        <w:keepLines w:val="0"/>
        <w:pageBreakBefore w:val="0"/>
        <w:wordWrap/>
        <w:overflowPunct/>
        <w:topLinePunct w:val="0"/>
        <w:bidi w:val="0"/>
        <w:spacing w:line="360" w:lineRule="auto"/>
        <w:rPr>
          <w:rFonts w:hint="eastAsia"/>
          <w:lang w:val="en-US" w:eastAsia="zh-CN"/>
        </w:rPr>
      </w:pPr>
    </w:p>
    <w:p w14:paraId="6DACD64C">
      <w:pPr>
        <w:spacing w:line="248" w:lineRule="auto"/>
        <w:ind w:firstLine="560"/>
        <w:rPr>
          <w:rFonts w:ascii="宋体" w:hAnsi="宋体" w:eastAsia="宋体" w:cs="宋体"/>
          <w:color w:val="auto"/>
        </w:rPr>
      </w:pPr>
    </w:p>
    <w:p w14:paraId="0A75D301">
      <w:pPr>
        <w:spacing w:line="248" w:lineRule="auto"/>
        <w:ind w:left="0" w:leftChars="0" w:firstLine="0" w:firstLineChars="0"/>
        <w:rPr>
          <w:rFonts w:ascii="宋体" w:hAnsi="宋体" w:eastAsia="宋体" w:cs="宋体"/>
        </w:rPr>
      </w:pPr>
    </w:p>
    <w:p w14:paraId="0FE38118">
      <w:pPr>
        <w:spacing w:line="248" w:lineRule="auto"/>
        <w:ind w:firstLine="560"/>
        <w:rPr>
          <w:rFonts w:ascii="宋体" w:hAnsi="宋体" w:eastAsia="宋体" w:cs="宋体"/>
        </w:rPr>
      </w:pPr>
    </w:p>
    <w:p w14:paraId="70FB38DE">
      <w:pPr>
        <w:spacing w:line="248" w:lineRule="auto"/>
        <w:ind w:firstLine="560"/>
        <w:rPr>
          <w:rFonts w:ascii="宋体" w:hAnsi="宋体" w:eastAsia="宋体" w:cs="宋体"/>
        </w:rPr>
      </w:pPr>
    </w:p>
    <w:p w14:paraId="7708F55D">
      <w:pPr>
        <w:spacing w:line="248" w:lineRule="auto"/>
        <w:ind w:firstLine="560"/>
        <w:rPr>
          <w:rFonts w:ascii="宋体" w:hAnsi="宋体" w:eastAsia="宋体" w:cs="宋体"/>
        </w:rPr>
      </w:pPr>
    </w:p>
    <w:p w14:paraId="363241CB">
      <w:pPr>
        <w:spacing w:line="249" w:lineRule="auto"/>
        <w:ind w:firstLine="560"/>
        <w:rPr>
          <w:rFonts w:ascii="宋体" w:hAnsi="宋体" w:eastAsia="宋体" w:cs="宋体"/>
        </w:rPr>
      </w:pPr>
    </w:p>
    <w:p w14:paraId="32407D17">
      <w:pPr>
        <w:spacing w:line="249" w:lineRule="auto"/>
        <w:ind w:firstLine="560"/>
        <w:rPr>
          <w:rFonts w:ascii="宋体" w:hAnsi="宋体" w:eastAsia="宋体" w:cs="宋体"/>
        </w:rPr>
      </w:pPr>
    </w:p>
    <w:p w14:paraId="77F55F05">
      <w:pPr>
        <w:spacing w:line="249" w:lineRule="auto"/>
        <w:ind w:firstLine="560"/>
        <w:rPr>
          <w:rFonts w:ascii="宋体" w:hAnsi="宋体" w:eastAsia="宋体" w:cs="宋体"/>
        </w:rPr>
      </w:pPr>
    </w:p>
    <w:p w14:paraId="015D56EC">
      <w:pPr>
        <w:spacing w:line="249" w:lineRule="auto"/>
        <w:ind w:firstLine="560"/>
        <w:rPr>
          <w:rFonts w:ascii="宋体" w:hAnsi="宋体" w:eastAsia="宋体" w:cs="宋体"/>
        </w:rPr>
      </w:pPr>
    </w:p>
    <w:p w14:paraId="62C82996">
      <w:pPr>
        <w:spacing w:line="249" w:lineRule="auto"/>
        <w:ind w:firstLine="560"/>
        <w:rPr>
          <w:rFonts w:ascii="宋体" w:hAnsi="宋体" w:eastAsia="宋体" w:cs="宋体"/>
          <w:color w:val="000000" w:themeColor="text1"/>
          <w14:textFill>
            <w14:solidFill>
              <w14:schemeClr w14:val="tx1"/>
            </w14:solidFill>
          </w14:textFill>
        </w:rPr>
      </w:pPr>
    </w:p>
    <w:p w14:paraId="5ED86D5C">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187B755E">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4DE05AD">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60B38E81">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E9B7F80">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70B929E">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3296354">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6BD07AF5">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0BAF1339">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rPr>
      </w:pPr>
      <w:r>
        <w:rPr>
          <w:rFonts w:hint="eastAsia" w:ascii="黑体" w:hAnsi="黑体" w:eastAsia="黑体" w:cs="Times New Roman"/>
          <w:snapToGrid/>
          <w:kern w:val="2"/>
          <w:sz w:val="32"/>
          <w:szCs w:val="32"/>
          <w:lang w:val="en-US" w:eastAsia="zh-CN"/>
        </w:rPr>
        <w:t>吐鲁番市自然资源局高昌区分局</w:t>
      </w:r>
    </w:p>
    <w:p w14:paraId="1988A3CE">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31" w:right="1074" w:bottom="1070" w:left="1622" w:header="0" w:footer="875" w:gutter="0"/>
          <w:cols w:space="720" w:num="1"/>
        </w:sectPr>
      </w:pPr>
    </w:p>
    <w:p w14:paraId="40104DE4">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送审单位：新疆天行伟健建工集团有限公司</w:t>
      </w:r>
    </w:p>
    <w:p w14:paraId="78DE3E03">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编制单位：新疆瑞新源矿业技术有限公司</w:t>
      </w:r>
    </w:p>
    <w:p w14:paraId="102329AE">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项目负责人：孙学营</w:t>
      </w:r>
    </w:p>
    <w:p w14:paraId="2EED4B7F">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编制人员：董正升  严伟  宋鹏飞 </w:t>
      </w:r>
    </w:p>
    <w:p w14:paraId="19341CD0">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评审专家组长：罗爱民</w:t>
      </w:r>
    </w:p>
    <w:p w14:paraId="446DFBC1">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评审专家组成员：黄铁栋 王惠江</w:t>
      </w:r>
    </w:p>
    <w:p w14:paraId="6F7E211B">
      <w:pPr>
        <w:keepNext w:val="0"/>
        <w:keepLines w:val="0"/>
        <w:pageBreakBefore w:val="0"/>
        <w:widowControl/>
        <w:kinsoku w:val="0"/>
        <w:wordWrap/>
        <w:overflowPunct/>
        <w:topLinePunct w:val="0"/>
        <w:autoSpaceDE w:val="0"/>
        <w:autoSpaceDN w:val="0"/>
        <w:bidi w:val="0"/>
        <w:adjustRightInd w:val="0"/>
        <w:snapToGrid w:val="0"/>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认 定 单 位：吐鲁番市自然资源局高昌区分局</w:t>
      </w:r>
    </w:p>
    <w:p w14:paraId="7C6B6662">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rPr>
        <w:t>评审方式：</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color w:val="auto"/>
          <w:spacing w:val="1"/>
          <w:sz w:val="32"/>
          <w:szCs w:val="32"/>
          <w:highlight w:val="none"/>
        </w:rPr>
        <w:t>会审</w:t>
      </w:r>
    </w:p>
    <w:p w14:paraId="7D0FEF49">
      <w:pPr>
        <w:keepNext w:val="0"/>
        <w:keepLines w:val="0"/>
        <w:pageBreakBefore w:val="0"/>
        <w:widowControl/>
        <w:kinsoku w:val="0"/>
        <w:wordWrap/>
        <w:overflowPunct/>
        <w:topLinePunct w:val="0"/>
        <w:autoSpaceDE w:val="0"/>
        <w:autoSpaceDN w:val="0"/>
        <w:bidi w:val="0"/>
        <w:adjustRightInd w:val="0"/>
        <w:snapToGrid w:val="0"/>
        <w:ind w:firstLine="564"/>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评审时间：202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7</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20</w:t>
      </w:r>
      <w:r>
        <w:rPr>
          <w:rFonts w:hint="eastAsia" w:ascii="仿宋_GB2312" w:hAnsi="仿宋_GB2312" w:eastAsia="仿宋_GB2312" w:cs="仿宋_GB2312"/>
          <w:color w:val="auto"/>
          <w:spacing w:val="1"/>
          <w:sz w:val="32"/>
          <w:szCs w:val="32"/>
        </w:rPr>
        <w:t>日</w:t>
      </w:r>
    </w:p>
    <w:p w14:paraId="58447A09">
      <w:pPr>
        <w:ind w:firstLine="564"/>
        <w:rPr>
          <w:rFonts w:ascii="宋体" w:hAnsi="宋体" w:eastAsia="宋体" w:cs="宋体"/>
          <w:spacing w:val="1"/>
          <w:szCs w:val="28"/>
        </w:rPr>
      </w:pPr>
    </w:p>
    <w:p w14:paraId="0E23B303">
      <w:pPr>
        <w:spacing w:line="204" w:lineRule="auto"/>
        <w:ind w:firstLine="560"/>
        <w:rPr>
          <w:rFonts w:ascii="宋体" w:hAnsi="宋体" w:eastAsia="宋体" w:cs="宋体"/>
          <w:szCs w:val="28"/>
        </w:rPr>
      </w:pPr>
    </w:p>
    <w:p w14:paraId="144D6C48">
      <w:pPr>
        <w:ind w:firstLine="560"/>
        <w:rPr>
          <w:rFonts w:ascii="宋体" w:hAnsi="宋体" w:eastAsia="宋体" w:cs="宋体"/>
        </w:rPr>
        <w:sectPr>
          <w:footerReference r:id="rId11" w:type="default"/>
          <w:pgSz w:w="11907" w:h="16839"/>
          <w:pgMar w:top="1431" w:right="1785" w:bottom="1070" w:left="1661" w:header="0" w:footer="875" w:gutter="0"/>
          <w:cols w:space="720" w:num="1"/>
        </w:sectPr>
      </w:pPr>
    </w:p>
    <w:p w14:paraId="69F196E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47B293A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1、矿区范围拐点坐标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lang w:eastAsia="zh-CN"/>
        </w:rPr>
        <w:t>）</w:t>
      </w:r>
    </w:p>
    <w:p w14:paraId="4F8F68B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普查报告</w:t>
      </w:r>
      <w:r>
        <w:rPr>
          <w:rFonts w:hint="eastAsia" w:ascii="仿宋_GB2312" w:hAnsi="仿宋_GB2312" w:eastAsia="仿宋_GB2312" w:cs="仿宋_GB2312"/>
          <w:sz w:val="32"/>
          <w:szCs w:val="32"/>
        </w:rPr>
        <w:t>估算标高：</w:t>
      </w:r>
      <w:r>
        <w:rPr>
          <w:rFonts w:hint="eastAsia" w:ascii="仿宋_GB2312" w:hAnsi="仿宋_GB2312" w:eastAsia="仿宋_GB2312" w:cs="仿宋_GB2312"/>
          <w:sz w:val="32"/>
          <w:szCs w:val="32"/>
          <w:lang w:val="en-US" w:eastAsia="zh-CN"/>
        </w:rPr>
        <w:t>545～529m，设计开采标高545～529m</w:t>
      </w:r>
      <w:r>
        <w:rPr>
          <w:rFonts w:hint="eastAsia" w:ascii="仿宋_GB2312" w:hAnsi="仿宋_GB2312" w:eastAsia="仿宋_GB2312" w:cs="仿宋_GB2312"/>
          <w:sz w:val="32"/>
          <w:szCs w:val="32"/>
        </w:rPr>
        <w:t>。矿区范围内地表最高标高：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545m</w:t>
      </w:r>
      <w:r>
        <w:rPr>
          <w:rFonts w:hint="eastAsia" w:ascii="仿宋_GB2312" w:hAnsi="仿宋_GB2312" w:eastAsia="仿宋_GB2312" w:cs="仿宋_GB2312"/>
          <w:sz w:val="32"/>
          <w:szCs w:val="32"/>
        </w:rPr>
        <w:t>。</w:t>
      </w:r>
    </w:p>
    <w:p w14:paraId="29C75DE3">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、设计生产规模为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10万</w:t>
      </w:r>
      <w:r>
        <w:rPr>
          <w:rFonts w:hint="eastAsia" w:ascii="仿宋_GB2312" w:hAnsi="仿宋_GB2312" w:eastAsia="仿宋_GB2312" w:cs="仿宋_GB2312"/>
          <w:color w:val="auto"/>
          <w:sz w:val="32"/>
          <w:szCs w:val="32"/>
          <w:lang w:val="en-US" w:eastAsia="zh-CN"/>
        </w:rPr>
        <w:t>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000000" w:themeColor="text1"/>
          <w:sz w:val="32"/>
          <w:szCs w:val="32"/>
          <w14:textFill>
            <w14:solidFill>
              <w14:schemeClr w14:val="tx1"/>
            </w14:solidFill>
          </w14:textFill>
        </w:rPr>
        <w:t>/年。</w:t>
      </w:r>
    </w:p>
    <w:p w14:paraId="713CF5E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开采服务年限：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11.48年</w:t>
      </w:r>
      <w:r>
        <w:rPr>
          <w:rFonts w:hint="eastAsia" w:ascii="仿宋_GB2312" w:hAnsi="仿宋_GB2312" w:eastAsia="仿宋_GB2312" w:cs="仿宋_GB2312"/>
          <w:color w:val="000000" w:themeColor="text1"/>
          <w:sz w:val="32"/>
          <w:szCs w:val="32"/>
          <w14:textFill>
            <w14:solidFill>
              <w14:schemeClr w14:val="tx1"/>
            </w14:solidFill>
          </w14:textFill>
        </w:rPr>
        <w:t>。</w:t>
      </w:r>
    </w:p>
    <w:p w14:paraId="6D688EF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5、开采矿种：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建筑用砂矿。最终产品方案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0.15～5mm、5～20mm、20～40mm</w:t>
      </w:r>
      <w:r>
        <w:rPr>
          <w:rFonts w:hint="eastAsia" w:ascii="仿宋_GB2312" w:hAnsi="仿宋_GB2312" w:eastAsia="仿宋_GB2312" w:cs="仿宋_GB2312"/>
          <w:color w:val="auto"/>
          <w:sz w:val="32"/>
          <w:szCs w:val="32"/>
          <w:lang w:val="en-US" w:eastAsia="zh-CN"/>
        </w:rPr>
        <w:t>三种粒级砂石料矿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5A4000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sz w:val="32"/>
          <w:szCs w:val="32"/>
        </w:rPr>
        <w:t>、开采方式与开拓方案：采用</w:t>
      </w:r>
      <w:r>
        <w:rPr>
          <w:rFonts w:hint="eastAsia" w:ascii="仿宋_GB2312" w:hAnsi="仿宋_GB2312" w:eastAsia="仿宋_GB2312" w:cs="仿宋_GB2312"/>
          <w:sz w:val="32"/>
          <w:szCs w:val="32"/>
          <w:lang w:eastAsia="zh-CN"/>
        </w:rPr>
        <w:t>露天凹陷开采方式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公路开拓汽车运输方案</w:t>
      </w:r>
      <w:r>
        <w:rPr>
          <w:rFonts w:hint="eastAsia" w:ascii="仿宋_GB2312" w:hAnsi="仿宋_GB2312" w:eastAsia="仿宋_GB2312" w:cs="仿宋_GB2312"/>
          <w:sz w:val="32"/>
          <w:szCs w:val="32"/>
        </w:rPr>
        <w:t>。</w:t>
      </w:r>
    </w:p>
    <w:p w14:paraId="5DD9236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、采矿</w:t>
      </w:r>
      <w:r>
        <w:rPr>
          <w:rFonts w:hint="eastAsia" w:ascii="仿宋_GB2312" w:hAnsi="仿宋_GB2312" w:eastAsia="仿宋_GB2312" w:cs="仿宋_GB2312"/>
          <w:sz w:val="32"/>
          <w:szCs w:val="32"/>
          <w:lang w:val="en-US" w:eastAsia="zh-CN"/>
        </w:rPr>
        <w:t>方法：自上而下分水平台阶开采的采矿方法</w:t>
      </w:r>
      <w:r>
        <w:rPr>
          <w:rFonts w:hint="eastAsia" w:ascii="仿宋_GB2312" w:hAnsi="仿宋_GB2312" w:eastAsia="仿宋_GB2312" w:cs="仿宋_GB2312"/>
          <w:sz w:val="32"/>
          <w:szCs w:val="32"/>
        </w:rPr>
        <w:t>。</w:t>
      </w:r>
    </w:p>
    <w:p w14:paraId="5FDBAAA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设计损失率3.21%</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val="en-US" w:eastAsia="zh-CN"/>
        </w:rPr>
        <w:t>采矿</w:t>
      </w:r>
      <w:r>
        <w:rPr>
          <w:rFonts w:hint="eastAsia" w:ascii="仿宋_GB2312" w:hAnsi="仿宋_GB2312" w:eastAsia="仿宋_GB2312" w:cs="仿宋_GB2312"/>
          <w:sz w:val="32"/>
          <w:szCs w:val="32"/>
        </w:rPr>
        <w:t>回采率9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5E343B4F">
      <w:pPr>
        <w:pStyle w:val="16"/>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、矿山在实际采选开发生产建设活动中，要以正式设计单位编制并审核通过的采选等设计为准执行。</w:t>
      </w:r>
    </w:p>
    <w:p w14:paraId="1477594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lang w:eastAsia="zh-CN"/>
        </w:rPr>
        <w:t>新疆天行伟健建工集团有限公司新疆吐鲁番市葡萄沟北侧七号建筑用砂矿矿产资源开发利用与生态保护修复方案</w:t>
      </w:r>
      <w:r>
        <w:rPr>
          <w:rFonts w:hint="eastAsia" w:ascii="仿宋_GB2312" w:hAnsi="仿宋_GB2312" w:eastAsia="仿宋_GB2312" w:cs="仿宋_GB2312"/>
          <w:sz w:val="32"/>
          <w:szCs w:val="32"/>
        </w:rPr>
        <w:t>》专家审查意见</w:t>
      </w:r>
    </w:p>
    <w:p w14:paraId="10FA816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主  送：</w:t>
      </w:r>
      <w:r>
        <w:rPr>
          <w:rFonts w:hint="eastAsia" w:ascii="仿宋_GB2312" w:hAnsi="仿宋_GB2312" w:eastAsia="仿宋_GB2312" w:cs="仿宋_GB2312"/>
          <w:spacing w:val="1"/>
          <w:sz w:val="32"/>
          <w:szCs w:val="32"/>
          <w:lang w:eastAsia="zh-CN"/>
        </w:rPr>
        <w:t>新疆天行伟健建工集团有限公司</w:t>
      </w:r>
    </w:p>
    <w:p w14:paraId="4EC7989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抄  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吐鲁番市</w:t>
      </w:r>
      <w:r>
        <w:rPr>
          <w:rFonts w:hint="eastAsia" w:ascii="仿宋_GB2312" w:hAnsi="仿宋_GB2312" w:eastAsia="仿宋_GB2312" w:cs="仿宋_GB2312"/>
          <w:color w:val="000000" w:themeColor="text1"/>
          <w:sz w:val="32"/>
          <w:szCs w:val="32"/>
          <w14:textFill>
            <w14:solidFill>
              <w14:schemeClr w14:val="tx1"/>
            </w14:solidFill>
          </w14:textFill>
        </w:rPr>
        <w:t>自然资源局</w:t>
      </w:r>
    </w:p>
    <w:p w14:paraId="0A45CDD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  数：12份</w:t>
      </w:r>
    </w:p>
    <w:p w14:paraId="771582E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FF0000"/>
          <w:sz w:val="32"/>
          <w:szCs w:val="32"/>
        </w:rPr>
        <w:sectPr>
          <w:pgSz w:w="12240" w:h="15840"/>
          <w:pgMar w:top="1440" w:right="1800" w:bottom="1440" w:left="1800" w:header="720" w:footer="720" w:gutter="0"/>
          <w:cols w:space="720" w:num="1"/>
        </w:sectPr>
      </w:pPr>
    </w:p>
    <w:p w14:paraId="69D99313">
      <w:pPr>
        <w:keepNext w:val="0"/>
        <w:keepLines w:val="0"/>
        <w:pageBreakBefore w:val="0"/>
        <w:wordWrap/>
        <w:overflowPunct/>
        <w:topLinePunct w:val="0"/>
        <w:autoSpaceDE w:val="0"/>
        <w:autoSpaceDN w:val="0"/>
        <w:bidi w:val="0"/>
        <w:adjustRightInd w:val="0"/>
        <w:spacing w:line="500" w:lineRule="exact"/>
        <w:ind w:left="0" w:leftChars="0" w:firstLine="0" w:firstLineChars="0"/>
        <w:jc w:val="center"/>
        <w:rPr>
          <w:rFonts w:hint="eastAsia" w:ascii="方正粗黑宋简体" w:hAnsi="方正粗黑宋简体" w:eastAsia="方正粗黑宋简体" w:cs="方正粗黑宋简体"/>
          <w:b w:val="0"/>
          <w:bCs/>
          <w:sz w:val="32"/>
          <w:szCs w:val="32"/>
        </w:rPr>
      </w:pPr>
      <w:r>
        <w:rPr>
          <w:rFonts w:hint="eastAsia" w:ascii="方正粗黑宋简体" w:hAnsi="方正粗黑宋简体" w:eastAsia="方正粗黑宋简体" w:cs="方正粗黑宋简体"/>
          <w:b w:val="0"/>
          <w:bCs/>
          <w:sz w:val="32"/>
          <w:szCs w:val="32"/>
        </w:rPr>
        <w:t>《</w:t>
      </w:r>
      <w:r>
        <w:rPr>
          <w:rFonts w:hint="eastAsia" w:ascii="方正粗黑宋简体" w:hAnsi="方正粗黑宋简体" w:eastAsia="方正粗黑宋简体" w:cs="方正粗黑宋简体"/>
          <w:b w:val="0"/>
          <w:bCs/>
          <w:sz w:val="32"/>
          <w:szCs w:val="32"/>
          <w:lang w:eastAsia="zh-CN"/>
        </w:rPr>
        <w:t>新疆天行伟健建工集团有限公司新疆吐鲁番市葡萄沟北侧七号建筑用砂矿矿产资源开发利用与生态保护修复方案</w:t>
      </w:r>
      <w:r>
        <w:rPr>
          <w:rFonts w:hint="eastAsia" w:ascii="方正粗黑宋简体" w:hAnsi="方正粗黑宋简体" w:eastAsia="方正粗黑宋简体" w:cs="方正粗黑宋简体"/>
          <w:b w:val="0"/>
          <w:bCs/>
          <w:sz w:val="32"/>
          <w:szCs w:val="32"/>
        </w:rPr>
        <w:t>》</w:t>
      </w:r>
    </w:p>
    <w:p w14:paraId="011EADED">
      <w:pPr>
        <w:keepNext w:val="0"/>
        <w:keepLines w:val="0"/>
        <w:pageBreakBefore w:val="0"/>
        <w:wordWrap/>
        <w:overflowPunct/>
        <w:topLinePunct w:val="0"/>
        <w:autoSpaceDE w:val="0"/>
        <w:autoSpaceDN w:val="0"/>
        <w:bidi w:val="0"/>
        <w:adjustRightInd w:val="0"/>
        <w:spacing w:line="500" w:lineRule="exact"/>
        <w:ind w:left="0" w:leftChars="0" w:firstLine="0" w:firstLineChars="0"/>
        <w:jc w:val="center"/>
        <w:rPr>
          <w:rFonts w:hint="eastAsia" w:ascii="方正粗黑宋简体" w:hAnsi="方正粗黑宋简体" w:eastAsia="方正粗黑宋简体" w:cs="方正粗黑宋简体"/>
          <w:b w:val="0"/>
          <w:bCs/>
          <w:color w:val="auto"/>
          <w:spacing w:val="1"/>
          <w:sz w:val="32"/>
          <w:szCs w:val="32"/>
        </w:rPr>
      </w:pPr>
      <w:r>
        <w:rPr>
          <w:rFonts w:hint="eastAsia" w:ascii="方正粗黑宋简体" w:hAnsi="方正粗黑宋简体" w:eastAsia="方正粗黑宋简体" w:cs="方正粗黑宋简体"/>
          <w:b w:val="0"/>
          <w:bCs/>
          <w:sz w:val="32"/>
          <w:szCs w:val="32"/>
        </w:rPr>
        <w:t>专家审查意见</w:t>
      </w:r>
    </w:p>
    <w:p w14:paraId="09A28503">
      <w:pPr>
        <w:keepNext w:val="0"/>
        <w:keepLines w:val="0"/>
        <w:pageBreakBefore w:val="0"/>
        <w:wordWrap/>
        <w:overflowPunct/>
        <w:topLinePunct w:val="0"/>
        <w:autoSpaceDE w:val="0"/>
        <w:autoSpaceDN w:val="0"/>
        <w:bidi w:val="0"/>
        <w:adjustRightInd w:val="0"/>
        <w:spacing w:line="500" w:lineRule="exact"/>
        <w:ind w:firstLine="560" w:firstLineChars="200"/>
        <w:rPr>
          <w:rFonts w:hint="eastAsia" w:ascii="仿宋_GB2312" w:hAnsi="仿宋_GB2312" w:eastAsia="仿宋_GB2312" w:cs="仿宋_GB2312"/>
          <w:color w:val="auto"/>
          <w:sz w:val="28"/>
          <w:szCs w:val="28"/>
        </w:rPr>
      </w:pPr>
      <w:bookmarkStart w:id="0" w:name="_Hlk100067958"/>
    </w:p>
    <w:p w14:paraId="3BD9BC4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新疆天行伟健建工集团有限公司新疆吐鲁番市葡萄沟北侧七号建筑用砂矿矿产资源开发利用与生态保护修复方案</w:t>
      </w:r>
      <w:r>
        <w:rPr>
          <w:rFonts w:hint="eastAsia" w:ascii="仿宋_GB2312" w:hAnsi="仿宋_GB2312" w:eastAsia="仿宋_GB2312" w:cs="仿宋_GB2312"/>
          <w:color w:val="auto"/>
          <w:sz w:val="28"/>
          <w:szCs w:val="28"/>
        </w:rPr>
        <w:t>》</w:t>
      </w:r>
      <w:bookmarkEnd w:id="0"/>
      <w:r>
        <w:rPr>
          <w:rFonts w:hint="eastAsia" w:ascii="仿宋_GB2312" w:hAnsi="仿宋_GB2312" w:eastAsia="仿宋_GB2312" w:cs="仿宋_GB2312"/>
          <w:color w:val="auto"/>
          <w:sz w:val="28"/>
          <w:szCs w:val="28"/>
        </w:rPr>
        <w:t>（以下简称</w:t>
      </w:r>
      <w:bookmarkStart w:id="1" w:name="_Hlk91835451"/>
      <w:r>
        <w:rPr>
          <w:rFonts w:hint="eastAsia" w:ascii="仿宋_GB2312" w:hAnsi="仿宋_GB2312" w:eastAsia="仿宋_GB2312" w:cs="仿宋_GB2312"/>
          <w:color w:val="auto"/>
          <w:sz w:val="28"/>
          <w:szCs w:val="28"/>
        </w:rPr>
        <w:t>《方案》</w:t>
      </w:r>
      <w:bookmarkEnd w:id="1"/>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新疆瑞新源矿业技术有限公司</w:t>
      </w:r>
      <w:r>
        <w:rPr>
          <w:rFonts w:hint="eastAsia" w:ascii="仿宋_GB2312" w:hAnsi="仿宋_GB2312" w:eastAsia="仿宋_GB2312" w:cs="仿宋_GB2312"/>
          <w:color w:val="auto"/>
          <w:sz w:val="28"/>
          <w:szCs w:val="28"/>
        </w:rPr>
        <w:t>编制完成。202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吐鲁番市自然资源局高昌区分局</w:t>
      </w:r>
      <w:r>
        <w:rPr>
          <w:rFonts w:hint="eastAsia" w:ascii="仿宋_GB2312" w:hAnsi="仿宋_GB2312" w:eastAsia="仿宋_GB2312" w:cs="仿宋_GB2312"/>
          <w:color w:val="auto"/>
          <w:sz w:val="28"/>
          <w:szCs w:val="28"/>
        </w:rPr>
        <w:t>组织有关专家对该《方案》进行现场会审。</w:t>
      </w:r>
      <w:r>
        <w:rPr>
          <w:rFonts w:hint="eastAsia" w:ascii="仿宋_GB2312" w:hAnsi="仿宋_GB2312" w:eastAsia="仿宋_GB2312" w:cs="仿宋_GB2312"/>
          <w:color w:val="auto"/>
          <w:sz w:val="28"/>
          <w:szCs w:val="28"/>
          <w:lang w:val="en-US" w:eastAsia="zh-CN"/>
        </w:rPr>
        <w:t>吐鲁番市自然资源局高昌区分局</w:t>
      </w:r>
      <w:r>
        <w:rPr>
          <w:rFonts w:hint="eastAsia" w:ascii="仿宋_GB2312" w:hAnsi="仿宋_GB2312" w:eastAsia="仿宋_GB2312" w:cs="仿宋_GB2312"/>
          <w:color w:val="auto"/>
          <w:sz w:val="28"/>
          <w:szCs w:val="28"/>
        </w:rPr>
        <w:t>聘请了地质、采矿、经济、地环、土地复垦等专业的专家组成专家组（名单附后）</w:t>
      </w:r>
      <w:r>
        <w:rPr>
          <w:rFonts w:hint="eastAsia" w:ascii="仿宋_GB2312" w:hAnsi="仿宋_GB2312" w:eastAsia="仿宋_GB2312" w:cs="仿宋_GB2312"/>
          <w:color w:val="auto"/>
          <w:sz w:val="28"/>
          <w:szCs w:val="28"/>
          <w:lang w:eastAsia="zh-CN"/>
        </w:rPr>
        <w:t>对该《方案》进行了</w:t>
      </w:r>
      <w:r>
        <w:rPr>
          <w:rFonts w:hint="eastAsia" w:ascii="仿宋_GB2312" w:hAnsi="仿宋_GB2312" w:eastAsia="仿宋_GB2312" w:cs="仿宋_GB2312"/>
          <w:color w:val="auto"/>
          <w:sz w:val="28"/>
          <w:szCs w:val="28"/>
          <w:lang w:val="en-US" w:eastAsia="zh-CN"/>
        </w:rPr>
        <w:t>线上</w:t>
      </w:r>
      <w:r>
        <w:rPr>
          <w:rFonts w:hint="eastAsia" w:ascii="仿宋_GB2312" w:hAnsi="仿宋_GB2312" w:eastAsia="仿宋_GB2312" w:cs="仿宋_GB2312"/>
          <w:color w:val="auto"/>
          <w:sz w:val="28"/>
          <w:szCs w:val="28"/>
          <w:lang w:eastAsia="zh-CN"/>
        </w:rPr>
        <w:t>会审。该《方案》经专家组充分讨论和评议，提出了修改意见。会后，编制单位对《方案》进行修改完善，经专家组复</w:t>
      </w:r>
      <w:r>
        <w:rPr>
          <w:rFonts w:hint="eastAsia" w:ascii="仿宋_GB2312" w:hAnsi="仿宋_GB2312" w:eastAsia="仿宋_GB2312" w:cs="仿宋_GB2312"/>
          <w:spacing w:val="1"/>
          <w:sz w:val="28"/>
          <w:szCs w:val="28"/>
        </w:rPr>
        <w:t>核，《方案》符合规范要求，现形成评审意见如下：</w:t>
      </w:r>
    </w:p>
    <w:p w14:paraId="2ED39378">
      <w:pPr>
        <w:keepNext w:val="0"/>
        <w:keepLines w:val="0"/>
        <w:pageBreakBefore w:val="0"/>
        <w:widowControl w:val="0"/>
        <w:wordWrap/>
        <w:overflowPunct/>
        <w:topLinePunct w:val="0"/>
        <w:autoSpaceDE w:val="0"/>
        <w:autoSpaceDN w:val="0"/>
        <w:bidi w:val="0"/>
        <w:adjustRightInd w:val="0"/>
        <w:snapToGrid w:val="0"/>
        <w:spacing w:line="560" w:lineRule="exact"/>
        <w:ind w:firstLine="536" w:firstLineChars="200"/>
        <w:jc w:val="left"/>
        <w:outlineLvl w:val="0"/>
        <w:rPr>
          <w:rFonts w:hint="eastAsia" w:ascii="黑体" w:hAnsi="黑体" w:eastAsia="黑体" w:cs="黑体"/>
          <w:b w:val="0"/>
          <w:bCs w:val="0"/>
          <w:color w:val="auto"/>
          <w:spacing w:val="-3"/>
          <w:sz w:val="28"/>
          <w:szCs w:val="28"/>
        </w:rPr>
      </w:pPr>
      <w:r>
        <w:rPr>
          <w:rFonts w:hint="eastAsia" w:ascii="黑体" w:hAnsi="黑体" w:eastAsia="黑体" w:cs="黑体"/>
          <w:b w:val="0"/>
          <w:bCs w:val="0"/>
          <w:color w:val="auto"/>
          <w:spacing w:val="-6"/>
          <w:sz w:val="28"/>
          <w:szCs w:val="28"/>
        </w:rPr>
        <w:t>一、采矿权基本情况及编制目的</w:t>
      </w:r>
    </w:p>
    <w:p w14:paraId="18448D1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eastAsia="zh-CN"/>
        </w:rPr>
        <w:t>新疆天行伟健建工集团有限公司新疆吐鲁番市葡萄沟北侧七号建筑用砂矿</w:t>
      </w:r>
      <w:r>
        <w:rPr>
          <w:rFonts w:hint="eastAsia" w:ascii="仿宋_GB2312" w:hAnsi="仿宋_GB2312" w:eastAsia="仿宋_GB2312" w:cs="仿宋_GB2312"/>
          <w:sz w:val="28"/>
          <w:szCs w:val="28"/>
        </w:rPr>
        <w:t>隶属于</w:t>
      </w:r>
      <w:r>
        <w:rPr>
          <w:rFonts w:hint="eastAsia" w:ascii="仿宋_GB2312" w:hAnsi="仿宋_GB2312" w:eastAsia="仿宋_GB2312" w:cs="仿宋_GB2312"/>
          <w:sz w:val="28"/>
          <w:szCs w:val="28"/>
          <w:lang w:eastAsia="zh-CN"/>
        </w:rPr>
        <w:t>新疆天行伟健建工集团有限公司</w:t>
      </w:r>
      <w:r>
        <w:rPr>
          <w:rFonts w:hint="eastAsia" w:ascii="仿宋_GB2312" w:hAnsi="仿宋_GB2312" w:eastAsia="仿宋_GB2312" w:cs="仿宋_GB2312"/>
          <w:sz w:val="28"/>
          <w:szCs w:val="28"/>
        </w:rPr>
        <w:t>，本矿山属于新建矿山，为</w:t>
      </w:r>
      <w:r>
        <w:rPr>
          <w:rFonts w:hint="eastAsia" w:ascii="仿宋_GB2312" w:hAnsi="仿宋_GB2312" w:eastAsia="仿宋_GB2312" w:cs="仿宋_GB2312"/>
          <w:sz w:val="28"/>
          <w:szCs w:val="28"/>
          <w:lang w:eastAsia="zh-CN"/>
        </w:rPr>
        <w:t>新疆天行伟健建工集团有限公司</w:t>
      </w:r>
      <w:r>
        <w:rPr>
          <w:rFonts w:hint="eastAsia" w:ascii="仿宋_GB2312" w:hAnsi="仿宋_GB2312" w:eastAsia="仿宋_GB2312" w:cs="仿宋_GB2312"/>
          <w:sz w:val="28"/>
          <w:szCs w:val="28"/>
        </w:rPr>
        <w:t>通过招拍挂取得的采矿权，矿区由</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个坐标拐点组成，面积</w:t>
      </w:r>
      <w:r>
        <w:rPr>
          <w:rFonts w:hint="eastAsia" w:ascii="仿宋_GB2312" w:hAnsi="仿宋_GB2312" w:eastAsia="仿宋_GB2312" w:cs="仿宋_GB2312"/>
          <w:sz w:val="28"/>
          <w:szCs w:val="28"/>
          <w:lang w:val="en-US" w:eastAsia="zh-CN"/>
        </w:rPr>
        <w:t>0.1905平方公里</w:t>
      </w:r>
      <w:r>
        <w:rPr>
          <w:rFonts w:hint="eastAsia" w:ascii="仿宋_GB2312" w:hAnsi="仿宋_GB2312" w:eastAsia="仿宋_GB2312" w:cs="仿宋_GB2312"/>
          <w:color w:val="auto"/>
          <w:sz w:val="28"/>
          <w:szCs w:val="28"/>
        </w:rPr>
        <w:t>。开采矿种为</w:t>
      </w:r>
      <w:r>
        <w:rPr>
          <w:rFonts w:hint="eastAsia" w:ascii="仿宋_GB2312" w:hAnsi="仿宋_GB2312" w:eastAsia="仿宋_GB2312" w:cs="仿宋_GB2312"/>
          <w:color w:val="auto"/>
          <w:sz w:val="28"/>
          <w:szCs w:val="28"/>
          <w:lang w:val="en-US" w:eastAsia="zh-CN"/>
        </w:rPr>
        <w:t>建筑用砂矿</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lang w:eastAsia="zh-CN"/>
        </w:rPr>
        <w:t>露天凹陷开采方式</w:t>
      </w:r>
      <w:r>
        <w:rPr>
          <w:rFonts w:hint="eastAsia" w:ascii="仿宋_GB2312" w:hAnsi="仿宋_GB2312" w:eastAsia="仿宋_GB2312" w:cs="仿宋_GB2312"/>
          <w:color w:val="auto"/>
          <w:sz w:val="28"/>
          <w:szCs w:val="28"/>
        </w:rPr>
        <w:t>，开采标高为</w:t>
      </w:r>
      <w:r>
        <w:rPr>
          <w:rFonts w:hint="eastAsia" w:ascii="仿宋_GB2312" w:hAnsi="仿宋_GB2312" w:eastAsia="仿宋_GB2312" w:cs="仿宋_GB2312"/>
          <w:sz w:val="28"/>
          <w:szCs w:val="28"/>
          <w:lang w:val="en-US" w:eastAsia="zh-CN"/>
        </w:rPr>
        <w:t>545～529m</w:t>
      </w:r>
      <w:r>
        <w:rPr>
          <w:rFonts w:hint="eastAsia" w:ascii="仿宋_GB2312" w:hAnsi="仿宋_GB2312" w:eastAsia="仿宋_GB2312" w:cs="仿宋_GB2312"/>
          <w:color w:val="auto"/>
          <w:sz w:val="28"/>
          <w:szCs w:val="28"/>
        </w:rPr>
        <w:t>，生产规模为</w:t>
      </w:r>
      <w:r>
        <w:rPr>
          <w:rFonts w:hint="eastAsia" w:ascii="仿宋_GB2312" w:hAnsi="仿宋_GB2312" w:eastAsia="仿宋_GB2312" w:cs="仿宋_GB2312"/>
          <w:color w:val="auto"/>
          <w:sz w:val="28"/>
          <w:szCs w:val="28"/>
          <w:lang w:val="en-US" w:eastAsia="zh-CN"/>
        </w:rPr>
        <w:t>10万m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rPr>
        <w:t>/年。</w:t>
      </w:r>
    </w:p>
    <w:p w14:paraId="4FB0910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本次设计编制</w:t>
      </w:r>
      <w:bookmarkStart w:id="2" w:name="_Hlk91836438"/>
      <w:r>
        <w:rPr>
          <w:rFonts w:hint="eastAsia" w:ascii="仿宋_GB2312" w:hAnsi="仿宋_GB2312" w:eastAsia="仿宋_GB2312" w:cs="仿宋_GB2312"/>
          <w:color w:val="auto"/>
          <w:sz w:val="28"/>
          <w:szCs w:val="28"/>
        </w:rPr>
        <w:t>《方案</w:t>
      </w:r>
      <w:r>
        <w:rPr>
          <w:rFonts w:hint="eastAsia" w:ascii="仿宋_GB2312" w:hAnsi="仿宋_GB2312" w:eastAsia="仿宋_GB2312" w:cs="仿宋_GB2312"/>
          <w:color w:val="auto"/>
          <w:sz w:val="28"/>
          <w:szCs w:val="28"/>
          <w:lang w:eastAsia="zh-CN"/>
        </w:rPr>
        <w:t>》的</w:t>
      </w:r>
      <w:bookmarkEnd w:id="2"/>
      <w:r>
        <w:rPr>
          <w:rFonts w:hint="eastAsia" w:ascii="仿宋_GB2312" w:hAnsi="仿宋_GB2312" w:eastAsia="仿宋_GB2312" w:cs="仿宋_GB2312"/>
          <w:color w:val="auto"/>
          <w:sz w:val="28"/>
          <w:szCs w:val="28"/>
        </w:rPr>
        <w:t>目的：</w:t>
      </w:r>
      <w:r>
        <w:rPr>
          <w:rFonts w:hint="eastAsia" w:ascii="仿宋_GB2312" w:hAnsi="仿宋_GB2312" w:eastAsia="仿宋_GB2312" w:cs="仿宋_GB2312"/>
          <w:sz w:val="28"/>
          <w:szCs w:val="28"/>
          <w:lang w:val="en-US" w:eastAsia="zh-CN"/>
        </w:rPr>
        <w:t>办理采矿许可证</w:t>
      </w:r>
      <w:r>
        <w:rPr>
          <w:rFonts w:hint="eastAsia" w:ascii="仿宋_GB2312" w:hAnsi="仿宋_GB2312" w:eastAsia="仿宋_GB2312" w:cs="仿宋_GB2312"/>
          <w:sz w:val="28"/>
          <w:szCs w:val="28"/>
        </w:rPr>
        <w:t>；为本矿山的采矿权出让收益评估、矿产资源开发利用、环境评价提供依据；为自然资源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w:t>
      </w:r>
      <w:r>
        <w:rPr>
          <w:rFonts w:hint="eastAsia" w:ascii="仿宋_GB2312" w:hAnsi="仿宋_GB2312" w:eastAsia="仿宋_GB2312" w:cs="仿宋_GB2312"/>
          <w:sz w:val="28"/>
          <w:szCs w:val="28"/>
          <w:lang w:val="en-US" w:eastAsia="zh-CN"/>
        </w:rPr>
        <w:t>部</w:t>
      </w:r>
      <w:bookmarkStart w:id="12" w:name="_GoBack"/>
      <w:bookmarkEnd w:id="12"/>
      <w:r>
        <w:rPr>
          <w:rFonts w:hint="eastAsia" w:ascii="仿宋_GB2312" w:hAnsi="仿宋_GB2312" w:eastAsia="仿宋_GB2312" w:cs="仿宋_GB2312"/>
          <w:sz w:val="28"/>
          <w:szCs w:val="28"/>
        </w:rPr>
        <w:t>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0391098B">
      <w:pPr>
        <w:keepNext w:val="0"/>
        <w:keepLines w:val="0"/>
        <w:pageBreakBefore w:val="0"/>
        <w:widowControl w:val="0"/>
        <w:wordWrap/>
        <w:overflowPunct/>
        <w:topLinePunct w:val="0"/>
        <w:autoSpaceDE w:val="0"/>
        <w:autoSpaceDN w:val="0"/>
        <w:bidi w:val="0"/>
        <w:adjustRightInd w:val="0"/>
        <w:snapToGrid w:val="0"/>
        <w:spacing w:line="560" w:lineRule="exact"/>
        <w:ind w:firstLine="538" w:firstLineChars="200"/>
        <w:jc w:val="left"/>
        <w:outlineLvl w:val="0"/>
        <w:rPr>
          <w:rFonts w:hint="eastAsia" w:ascii="仿宋_GB2312" w:hAnsi="仿宋_GB2312" w:eastAsia="仿宋_GB2312" w:cs="仿宋_GB2312"/>
          <w:b/>
          <w:bCs/>
          <w:color w:val="auto"/>
          <w:spacing w:val="-6"/>
          <w:sz w:val="28"/>
          <w:szCs w:val="28"/>
        </w:rPr>
      </w:pPr>
      <w:r>
        <w:rPr>
          <w:rFonts w:hint="eastAsia" w:ascii="仿宋_GB2312" w:hAnsi="仿宋_GB2312" w:eastAsia="仿宋_GB2312" w:cs="仿宋_GB2312"/>
          <w:b/>
          <w:bCs/>
          <w:color w:val="auto"/>
          <w:spacing w:val="-6"/>
          <w:sz w:val="28"/>
          <w:szCs w:val="28"/>
        </w:rPr>
        <w:t>二、资源储量转换及其评述</w:t>
      </w:r>
    </w:p>
    <w:p w14:paraId="72936B71">
      <w:pPr>
        <w:pStyle w:val="16"/>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（一）设计利用资源量</w:t>
      </w:r>
    </w:p>
    <w:p w14:paraId="1D0AB47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w:t>
      </w:r>
      <w:r>
        <w:rPr>
          <w:rFonts w:hint="eastAsia" w:ascii="仿宋_GB2312" w:hAnsi="仿宋_GB2312" w:eastAsia="仿宋_GB2312" w:cs="仿宋_GB2312"/>
          <w:color w:val="auto"/>
          <w:sz w:val="28"/>
          <w:szCs w:val="28"/>
          <w:lang w:eastAsia="zh-CN"/>
        </w:rPr>
        <w:t>新疆吐鲁番市葡萄沟北侧七号建筑用砂矿普查报告</w:t>
      </w:r>
      <w:r>
        <w:rPr>
          <w:rFonts w:hint="eastAsia" w:ascii="仿宋_GB2312" w:hAnsi="仿宋_GB2312" w:eastAsia="仿宋_GB2312" w:cs="仿宋_GB2312"/>
          <w:color w:val="auto"/>
          <w:sz w:val="28"/>
          <w:szCs w:val="28"/>
        </w:rPr>
        <w:t>》矿产资源储量评审意见书（</w:t>
      </w:r>
      <w:r>
        <w:rPr>
          <w:rFonts w:hint="eastAsia" w:ascii="仿宋_GB2312" w:hAnsi="仿宋_GB2312" w:eastAsia="仿宋_GB2312" w:cs="仿宋_GB2312"/>
          <w:color w:val="auto"/>
          <w:sz w:val="28"/>
          <w:szCs w:val="28"/>
          <w:lang w:val="en-US" w:eastAsia="zh-CN"/>
        </w:rPr>
        <w:t>吐市高区自然资储评〔2025〕2号</w:t>
      </w:r>
      <w:r>
        <w:rPr>
          <w:rFonts w:hint="eastAsia" w:ascii="仿宋_GB2312" w:hAnsi="仿宋_GB2312" w:eastAsia="仿宋_GB2312" w:cs="仿宋_GB2312"/>
          <w:color w:val="auto"/>
          <w:sz w:val="28"/>
          <w:szCs w:val="28"/>
        </w:rPr>
        <w:t>），截止时间为</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eastAsia="zh-CN"/>
        </w:rPr>
        <w:t>月3</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普查区</w:t>
      </w:r>
      <w:r>
        <w:rPr>
          <w:rFonts w:hint="eastAsia" w:ascii="仿宋_GB2312" w:hAnsi="仿宋_GB2312" w:eastAsia="仿宋_GB2312" w:cs="仿宋_GB2312"/>
          <w:color w:val="auto"/>
          <w:sz w:val="28"/>
          <w:szCs w:val="28"/>
        </w:rPr>
        <w:t>范围内（标高</w:t>
      </w:r>
      <w:r>
        <w:rPr>
          <w:rFonts w:hint="eastAsia" w:ascii="仿宋_GB2312" w:hAnsi="仿宋_GB2312" w:eastAsia="仿宋_GB2312" w:cs="仿宋_GB2312"/>
          <w:color w:val="auto"/>
          <w:sz w:val="28"/>
          <w:szCs w:val="28"/>
          <w:lang w:val="en-US" w:eastAsia="zh-CN"/>
        </w:rPr>
        <w:t>545</w:t>
      </w:r>
      <w:r>
        <w:rPr>
          <w:rFonts w:hint="eastAsia" w:ascii="仿宋_GB2312" w:hAnsi="仿宋_GB2312" w:eastAsia="仿宋_GB2312" w:cs="仿宋_GB2312"/>
          <w:color w:val="auto"/>
          <w:sz w:val="28"/>
          <w:szCs w:val="28"/>
          <w:lang w:eastAsia="zh-CN"/>
        </w:rPr>
        <w:t>m～</w:t>
      </w:r>
      <w:r>
        <w:rPr>
          <w:rFonts w:hint="eastAsia" w:ascii="仿宋_GB2312" w:hAnsi="仿宋_GB2312" w:eastAsia="仿宋_GB2312" w:cs="仿宋_GB2312"/>
          <w:color w:val="auto"/>
          <w:sz w:val="28"/>
          <w:szCs w:val="28"/>
          <w:lang w:val="en-US" w:eastAsia="zh-CN"/>
        </w:rPr>
        <w:t>529</w:t>
      </w:r>
      <w:r>
        <w:rPr>
          <w:rFonts w:hint="eastAsia" w:ascii="仿宋_GB2312" w:hAnsi="仿宋_GB2312" w:eastAsia="仿宋_GB2312" w:cs="仿宋_GB2312"/>
          <w:color w:val="auto"/>
          <w:sz w:val="28"/>
          <w:szCs w:val="28"/>
          <w:lang w:eastAsia="zh-CN"/>
        </w:rPr>
        <w:t>m</w:t>
      </w:r>
      <w:r>
        <w:rPr>
          <w:rFonts w:hint="eastAsia" w:ascii="仿宋_GB2312" w:hAnsi="仿宋_GB2312" w:eastAsia="仿宋_GB2312" w:cs="仿宋_GB2312"/>
          <w:color w:val="auto"/>
          <w:sz w:val="28"/>
          <w:szCs w:val="28"/>
        </w:rPr>
        <w:t>）共求得</w:t>
      </w:r>
      <w:r>
        <w:rPr>
          <w:rFonts w:hint="eastAsia" w:ascii="仿宋_GB2312" w:hAnsi="仿宋_GB2312" w:eastAsia="仿宋_GB2312" w:cs="仿宋_GB2312"/>
          <w:color w:val="auto"/>
          <w:sz w:val="28"/>
          <w:szCs w:val="28"/>
          <w:lang w:val="en-US" w:eastAsia="zh-CN"/>
        </w:rPr>
        <w:t>建筑用砂石料矿</w:t>
      </w:r>
      <w:r>
        <w:rPr>
          <w:rFonts w:hint="eastAsia" w:ascii="仿宋_GB2312" w:hAnsi="仿宋_GB2312" w:eastAsia="仿宋_GB2312" w:cs="仿宋_GB2312"/>
          <w:color w:val="auto"/>
          <w:sz w:val="28"/>
          <w:szCs w:val="28"/>
        </w:rPr>
        <w:t>推断资源量</w:t>
      </w:r>
      <w:r>
        <w:rPr>
          <w:rFonts w:hint="eastAsia" w:ascii="仿宋_GB2312" w:hAnsi="仿宋_GB2312" w:eastAsia="仿宋_GB2312" w:cs="仿宋_GB2312"/>
          <w:color w:val="auto"/>
          <w:sz w:val="28"/>
          <w:szCs w:val="28"/>
          <w:lang w:val="en-US" w:eastAsia="zh-CN"/>
        </w:rPr>
        <w:t>121.00</w:t>
      </w:r>
      <w:r>
        <w:rPr>
          <w:rFonts w:hint="eastAsia" w:ascii="仿宋_GB2312" w:hAnsi="仿宋_GB2312" w:eastAsia="仿宋_GB2312" w:cs="仿宋_GB2312"/>
          <w:color w:val="auto"/>
          <w:sz w:val="28"/>
          <w:szCs w:val="28"/>
          <w:lang w:eastAsia="zh-CN"/>
        </w:rPr>
        <w:t>万</w:t>
      </w:r>
      <w:r>
        <w:rPr>
          <w:rFonts w:hint="eastAsia" w:ascii="仿宋_GB2312" w:hAnsi="仿宋_GB2312" w:eastAsia="仿宋_GB2312" w:cs="仿宋_GB2312"/>
          <w:color w:val="auto"/>
          <w:sz w:val="28"/>
          <w:szCs w:val="28"/>
          <w:lang w:val="en-US" w:eastAsia="zh-CN"/>
        </w:rPr>
        <w:t>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lang w:eastAsia="zh-CN"/>
        </w:rPr>
        <w:t>。</w:t>
      </w:r>
    </w:p>
    <w:p w14:paraId="42C9A3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确定本次方案设计利用的资源量为矿区范围内</w:t>
      </w:r>
      <w:r>
        <w:rPr>
          <w:rFonts w:hint="eastAsia" w:ascii="仿宋_GB2312" w:hAnsi="仿宋_GB2312" w:eastAsia="仿宋_GB2312" w:cs="仿宋_GB2312"/>
          <w:color w:val="auto"/>
          <w:sz w:val="28"/>
          <w:szCs w:val="28"/>
          <w:lang w:eastAsia="zh-CN"/>
        </w:rPr>
        <w:t>截至202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eastAsia="zh-CN"/>
        </w:rPr>
        <w:t>月3</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经评审备案的全部</w:t>
      </w:r>
      <w:r>
        <w:rPr>
          <w:rFonts w:hint="eastAsia" w:ascii="仿宋_GB2312" w:hAnsi="仿宋_GB2312" w:eastAsia="仿宋_GB2312" w:cs="仿宋_GB2312"/>
          <w:color w:val="auto"/>
          <w:sz w:val="28"/>
          <w:szCs w:val="28"/>
          <w:lang w:val="en-US" w:eastAsia="zh-CN"/>
        </w:rPr>
        <w:t>查明</w:t>
      </w:r>
      <w:r>
        <w:rPr>
          <w:rFonts w:hint="eastAsia" w:ascii="仿宋_GB2312" w:hAnsi="仿宋_GB2312" w:eastAsia="仿宋_GB2312" w:cs="仿宋_GB2312"/>
          <w:color w:val="auto"/>
          <w:sz w:val="28"/>
          <w:szCs w:val="28"/>
        </w:rPr>
        <w:t>资源量。</w:t>
      </w:r>
    </w:p>
    <w:p w14:paraId="237FD10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（二）可采资源储量</w:t>
      </w:r>
    </w:p>
    <w:p w14:paraId="50C9E47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val="en-US" w:eastAsia="zh-CN"/>
        </w:rPr>
        <w:t>方案设计露天采矿场境界范围内推断资源量117.12万m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vertAlign w:val="baseline"/>
          <w:lang w:val="en-US" w:eastAsia="zh-CN"/>
        </w:rPr>
        <w:t>，设计损失率3.21%</w:t>
      </w:r>
      <w:r>
        <w:rPr>
          <w:rFonts w:hint="eastAsia" w:ascii="仿宋_GB2312" w:hAnsi="仿宋_GB2312" w:eastAsia="仿宋_GB2312" w:cs="仿宋_GB2312"/>
          <w:color w:val="auto"/>
          <w:sz w:val="28"/>
          <w:szCs w:val="28"/>
          <w:lang w:val="en-US" w:eastAsia="zh-CN"/>
        </w:rPr>
        <w:t>。</w:t>
      </w:r>
    </w:p>
    <w:p w14:paraId="32FE7F6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根据矿体赋存条件并参照、类比邻近矿山，设计采矿回采率为</w:t>
      </w:r>
      <w:r>
        <w:rPr>
          <w:rFonts w:hint="eastAsia" w:ascii="仿宋_GB2312" w:hAnsi="仿宋_GB2312" w:eastAsia="仿宋_GB2312" w:cs="仿宋_GB2312"/>
          <w:color w:val="auto"/>
          <w:sz w:val="28"/>
          <w:szCs w:val="28"/>
          <w:lang w:val="en-US" w:eastAsia="zh-CN"/>
        </w:rPr>
        <w:t>98.00</w:t>
      </w:r>
      <w:r>
        <w:rPr>
          <w:rFonts w:hint="eastAsia" w:ascii="仿宋_GB2312" w:hAnsi="仿宋_GB2312" w:eastAsia="仿宋_GB2312" w:cs="仿宋_GB2312"/>
          <w:color w:val="auto"/>
          <w:sz w:val="28"/>
          <w:szCs w:val="28"/>
        </w:rPr>
        <w:t>%，故本矿山</w:t>
      </w:r>
      <w:r>
        <w:rPr>
          <w:rFonts w:hint="eastAsia" w:ascii="仿宋_GB2312" w:hAnsi="仿宋_GB2312" w:eastAsia="仿宋_GB2312" w:cs="仿宋_GB2312"/>
          <w:color w:val="auto"/>
          <w:sz w:val="28"/>
          <w:szCs w:val="28"/>
          <w:lang w:val="en-US" w:eastAsia="zh-CN"/>
        </w:rPr>
        <w:t>可采推断资源</w:t>
      </w:r>
      <w:r>
        <w:rPr>
          <w:rFonts w:hint="eastAsia" w:ascii="仿宋_GB2312" w:hAnsi="仿宋_GB2312" w:eastAsia="仿宋_GB2312" w:cs="仿宋_GB2312"/>
          <w:color w:val="auto"/>
          <w:sz w:val="28"/>
          <w:szCs w:val="28"/>
        </w:rPr>
        <w:t>量计算如下：</w:t>
      </w:r>
    </w:p>
    <w:p w14:paraId="6865E61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可采推断资源</w:t>
      </w:r>
      <w:r>
        <w:rPr>
          <w:rFonts w:hint="eastAsia" w:ascii="仿宋_GB2312" w:hAnsi="仿宋_GB2312" w:eastAsia="仿宋_GB2312" w:cs="仿宋_GB2312"/>
          <w:color w:val="auto"/>
          <w:sz w:val="28"/>
          <w:szCs w:val="28"/>
        </w:rPr>
        <w:t>量</w:t>
      </w:r>
      <w:r>
        <w:rPr>
          <w:rFonts w:hint="eastAsia" w:ascii="仿宋_GB2312" w:hAnsi="仿宋_GB2312" w:eastAsia="仿宋_GB2312" w:cs="仿宋_GB2312"/>
          <w:color w:val="auto"/>
          <w:sz w:val="28"/>
          <w:szCs w:val="28"/>
          <w:lang w:val="en-US" w:eastAsia="zh-CN"/>
        </w:rPr>
        <w:t>＝开采境界内推断资源量×设计</w:t>
      </w:r>
      <w:r>
        <w:rPr>
          <w:rFonts w:hint="eastAsia" w:ascii="仿宋_GB2312" w:hAnsi="仿宋_GB2312" w:eastAsia="仿宋_GB2312" w:cs="仿宋_GB2312"/>
          <w:color w:val="auto"/>
          <w:sz w:val="28"/>
          <w:szCs w:val="28"/>
        </w:rPr>
        <w:t>采矿回采率</w:t>
      </w:r>
    </w:p>
    <w:p w14:paraId="37A0C8B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＝117.12万m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lang w:val="en-US" w:eastAsia="zh-CN"/>
        </w:rPr>
        <w:t>×98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＝114.78万m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lang w:eastAsia="zh-CN"/>
        </w:rPr>
        <w:t>。</w:t>
      </w:r>
    </w:p>
    <w:p w14:paraId="42207EA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本矿地质工作为普查，查明资源量为推断资源量，根据《固体矿产资源储量分类》（GBT 17766-2020），设计可采资源量类别仍为可采推断资源量。</w:t>
      </w:r>
    </w:p>
    <w:p w14:paraId="227585D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（三）资源储量确定符合性</w:t>
      </w:r>
    </w:p>
    <w:p w14:paraId="07C7B3A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《方案》资源储量类型确定合理，设计利用资源量、可采资源储量的确定符合自治区自然资源厅相关政策要求。</w:t>
      </w:r>
    </w:p>
    <w:p w14:paraId="52C74E4B">
      <w:pPr>
        <w:keepNext w:val="0"/>
        <w:keepLines w:val="0"/>
        <w:pageBreakBefore w:val="0"/>
        <w:widowControl w:val="0"/>
        <w:wordWrap/>
        <w:overflowPunct/>
        <w:topLinePunct w:val="0"/>
        <w:autoSpaceDE w:val="0"/>
        <w:autoSpaceDN w:val="0"/>
        <w:bidi w:val="0"/>
        <w:adjustRightInd w:val="0"/>
        <w:snapToGrid w:val="0"/>
        <w:spacing w:line="560" w:lineRule="exact"/>
        <w:ind w:firstLine="544" w:firstLineChars="200"/>
        <w:outlineLvl w:val="0"/>
        <w:rPr>
          <w:rFonts w:hint="eastAsia" w:ascii="黑体" w:hAnsi="黑体" w:eastAsia="黑体" w:cs="黑体"/>
          <w:b w:val="0"/>
          <w:bCs w:val="0"/>
          <w:color w:val="auto"/>
          <w:spacing w:val="-4"/>
          <w:sz w:val="28"/>
          <w:szCs w:val="28"/>
        </w:rPr>
      </w:pPr>
      <w:r>
        <w:rPr>
          <w:rFonts w:hint="eastAsia" w:ascii="黑体" w:hAnsi="黑体" w:eastAsia="黑体" w:cs="黑体"/>
          <w:b w:val="0"/>
          <w:bCs w:val="0"/>
          <w:color w:val="auto"/>
          <w:spacing w:val="-4"/>
          <w:sz w:val="28"/>
          <w:szCs w:val="28"/>
        </w:rPr>
        <w:t>三、设计开采规模及服务年限</w:t>
      </w:r>
    </w:p>
    <w:p w14:paraId="3FAF912D">
      <w:pPr>
        <w:keepNext w:val="0"/>
        <w:keepLines w:val="0"/>
        <w:pageBreakBefore w:val="0"/>
        <w:widowControl w:val="0"/>
        <w:wordWrap/>
        <w:overflowPunct/>
        <w:topLinePunct w:val="0"/>
        <w:autoSpaceDE w:val="0"/>
        <w:autoSpaceDN w:val="0"/>
        <w:bidi w:val="0"/>
        <w:adjustRightInd w:val="0"/>
        <w:snapToGrid w:val="0"/>
        <w:spacing w:line="560" w:lineRule="exact"/>
        <w:ind w:firstLine="564" w:firstLineChars="200"/>
        <w:rPr>
          <w:rFonts w:hint="eastAsia"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该矿为建筑用砂矿，矿产品为0.15～5mm、5～20mm、20～40mm三个粒级的砂石料，矿石主要用于吐鲁番市高昌区及周边村镇建设。根据矿区范</w:t>
      </w:r>
      <w:r>
        <w:rPr>
          <w:rFonts w:hint="eastAsia" w:ascii="仿宋_GB2312" w:hAnsi="仿宋_GB2312" w:eastAsia="仿宋_GB2312" w:cs="仿宋_GB2312"/>
          <w:color w:val="auto"/>
          <w:spacing w:val="1"/>
          <w:sz w:val="28"/>
          <w:szCs w:val="28"/>
          <w:lang w:val="en-US" w:eastAsia="zh-CN"/>
        </w:rPr>
        <w:t>围内查明资源量及周</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边市场需求，推荐矿山建设规模为年采建筑用砂原矿10万m</w:t>
      </w:r>
      <w:r>
        <w:rPr>
          <w:rFonts w:hint="eastAsia" w:ascii="仿宋_GB2312" w:hAnsi="仿宋_GB2312" w:eastAsia="仿宋_GB2312" w:cs="仿宋_GB2312"/>
          <w:color w:val="000000" w:themeColor="text1"/>
          <w:spacing w:val="1"/>
          <w:sz w:val="28"/>
          <w:szCs w:val="28"/>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pacing w:val="1"/>
          <w:sz w:val="28"/>
          <w:szCs w:val="28"/>
          <w14:textFill>
            <w14:solidFill>
              <w14:schemeClr w14:val="tx1"/>
            </w14:solidFill>
          </w14:textFill>
        </w:rPr>
        <w:t>设计服务年限为</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11.48年</w:t>
      </w:r>
      <w:r>
        <w:rPr>
          <w:rFonts w:hint="eastAsia" w:ascii="仿宋_GB2312" w:hAnsi="仿宋_GB2312" w:eastAsia="仿宋_GB2312" w:cs="仿宋_GB2312"/>
          <w:color w:val="000000" w:themeColor="text1"/>
          <w:spacing w:val="1"/>
          <w:sz w:val="28"/>
          <w:szCs w:val="28"/>
          <w:lang w:val="zh-CN"/>
          <w14:textFill>
            <w14:solidFill>
              <w14:schemeClr w14:val="tx1"/>
            </w14:solidFill>
          </w14:textFill>
        </w:rPr>
        <w:t>。</w:t>
      </w:r>
    </w:p>
    <w:p w14:paraId="00BBA3B8">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四、采矿及选矿方案</w:t>
      </w:r>
    </w:p>
    <w:p w14:paraId="5FF8F0E7">
      <w:pPr>
        <w:keepNext w:val="0"/>
        <w:keepLines w:val="0"/>
        <w:pageBreakBefore w:val="0"/>
        <w:widowControl w:val="0"/>
        <w:wordWrap/>
        <w:overflowPunct/>
        <w:topLinePunct w:val="0"/>
        <w:autoSpaceDE w:val="0"/>
        <w:autoSpaceDN w:val="0"/>
        <w:bidi w:val="0"/>
        <w:adjustRightInd w:val="0"/>
        <w:snapToGrid w:val="0"/>
        <w:spacing w:line="560" w:lineRule="exact"/>
        <w:ind w:firstLine="564" w:firstLineChars="200"/>
        <w:rPr>
          <w:rFonts w:hint="eastAsia"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14:textFill>
            <w14:solidFill>
              <w14:schemeClr w14:val="tx1"/>
            </w14:solidFill>
          </w14:textFill>
        </w:rPr>
        <w:t>矿山</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采用</w:t>
      </w:r>
      <w:r>
        <w:rPr>
          <w:rFonts w:hint="eastAsia" w:ascii="仿宋_GB2312" w:hAnsi="仿宋_GB2312" w:eastAsia="仿宋_GB2312" w:cs="仿宋_GB2312"/>
          <w:sz w:val="28"/>
          <w:szCs w:val="28"/>
          <w:lang w:eastAsia="zh-CN"/>
        </w:rPr>
        <w:t>露天凹陷开采方式</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公路开拓、汽车运输方案</w:t>
      </w:r>
      <w:r>
        <w:rPr>
          <w:rFonts w:hint="eastAsia" w:ascii="仿宋_GB2312" w:hAnsi="仿宋_GB2312" w:eastAsia="仿宋_GB2312" w:cs="仿宋_GB2312"/>
          <w:color w:val="000000" w:themeColor="text1"/>
          <w:spacing w:val="1"/>
          <w:sz w:val="28"/>
          <w:szCs w:val="28"/>
          <w14:textFill>
            <w14:solidFill>
              <w14:schemeClr w14:val="tx1"/>
            </w14:solidFill>
          </w14:textFill>
        </w:rPr>
        <w:t>，</w:t>
      </w:r>
      <w:r>
        <w:rPr>
          <w:rFonts w:hint="eastAsia" w:ascii="仿宋_GB2312" w:hAnsi="仿宋_GB2312" w:eastAsia="仿宋_GB2312" w:cs="仿宋_GB2312"/>
          <w:sz w:val="28"/>
          <w:szCs w:val="28"/>
          <w:lang w:val="en-US" w:eastAsia="zh-CN"/>
        </w:rPr>
        <w:t>自上而下分水平台阶开采的采矿方法</w:t>
      </w:r>
      <w:r>
        <w:rPr>
          <w:rFonts w:hint="eastAsia" w:ascii="仿宋_GB2312" w:hAnsi="仿宋_GB2312" w:eastAsia="仿宋_GB2312" w:cs="仿宋_GB2312"/>
          <w:color w:val="000000" w:themeColor="text1"/>
          <w:spacing w:val="1"/>
          <w:sz w:val="28"/>
          <w:szCs w:val="28"/>
          <w14:textFill>
            <w14:solidFill>
              <w14:schemeClr w14:val="tx1"/>
            </w14:solidFill>
          </w14:textFill>
        </w:rPr>
        <w:t>，选择合理参数圈定露天开采境界，设计损失率</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3.21%</w:t>
      </w:r>
      <w:r>
        <w:rPr>
          <w:rFonts w:hint="eastAsia" w:ascii="仿宋_GB2312" w:hAnsi="仿宋_GB2312" w:eastAsia="仿宋_GB2312" w:cs="仿宋_GB2312"/>
          <w:color w:val="000000" w:themeColor="text1"/>
          <w:spacing w:val="1"/>
          <w:sz w:val="28"/>
          <w:szCs w:val="28"/>
          <w14:textFill>
            <w14:solidFill>
              <w14:schemeClr w14:val="tx1"/>
            </w14:solidFill>
          </w14:textFill>
        </w:rPr>
        <w:t>，设计采矿回采率9</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pacing w:val="1"/>
          <w:sz w:val="28"/>
          <w:szCs w:val="28"/>
          <w14:textFill>
            <w14:solidFill>
              <w14:schemeClr w14:val="tx1"/>
            </w14:solidFill>
          </w14:textFill>
        </w:rPr>
        <w:t>%，采矿损失率</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28"/>
          <w:szCs w:val="28"/>
          <w14:textFill>
            <w14:solidFill>
              <w14:schemeClr w14:val="tx1"/>
            </w14:solidFill>
          </w14:textFill>
        </w:rPr>
        <w:t>%。</w:t>
      </w:r>
      <w:r>
        <w:rPr>
          <w:rFonts w:hint="eastAsia" w:ascii="仿宋_GB2312" w:hAnsi="仿宋_GB2312" w:eastAsia="仿宋_GB2312" w:cs="仿宋_GB2312"/>
          <w:color w:val="000000" w:themeColor="text1"/>
          <w:spacing w:val="-4"/>
          <w:sz w:val="28"/>
          <w:szCs w:val="28"/>
          <w14:textFill>
            <w14:solidFill>
              <w14:schemeClr w14:val="tx1"/>
            </w14:solidFill>
          </w14:textFill>
        </w:rPr>
        <w:t>无选矿</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w:t>
      </w:r>
    </w:p>
    <w:p w14:paraId="77D1C3A0">
      <w:pPr>
        <w:keepNext w:val="0"/>
        <w:keepLines w:val="0"/>
        <w:pageBreakBefore w:val="0"/>
        <w:widowControl w:val="0"/>
        <w:wordWrap/>
        <w:overflowPunct/>
        <w:topLinePunct w:val="0"/>
        <w:autoSpaceDE w:val="0"/>
        <w:autoSpaceDN w:val="0"/>
        <w:bidi w:val="0"/>
        <w:adjustRightInd w:val="0"/>
        <w:snapToGrid w:val="0"/>
        <w:spacing w:line="560" w:lineRule="exact"/>
        <w:ind w:firstLine="556" w:firstLineChars="200"/>
        <w:outlineLvl w:val="0"/>
        <w:rPr>
          <w:rFonts w:hint="eastAsia" w:ascii="黑体" w:hAnsi="黑体" w:eastAsia="黑体" w:cs="黑体"/>
          <w:b w:val="0"/>
          <w:bCs w:val="0"/>
          <w:color w:val="000000" w:themeColor="text1"/>
          <w:spacing w:val="-1"/>
          <w:sz w:val="28"/>
          <w:szCs w:val="28"/>
          <w14:textFill>
            <w14:solidFill>
              <w14:schemeClr w14:val="tx1"/>
            </w14:solidFill>
          </w14:textFill>
        </w:rPr>
      </w:pPr>
      <w:r>
        <w:rPr>
          <w:rFonts w:hint="eastAsia" w:ascii="黑体" w:hAnsi="黑体" w:eastAsia="黑体" w:cs="黑体"/>
          <w:b w:val="0"/>
          <w:bCs w:val="0"/>
          <w:color w:val="000000" w:themeColor="text1"/>
          <w:spacing w:val="-1"/>
          <w:sz w:val="28"/>
          <w:szCs w:val="28"/>
          <w14:textFill>
            <w14:solidFill>
              <w14:schemeClr w14:val="tx1"/>
            </w14:solidFill>
          </w14:textFill>
        </w:rPr>
        <w:t>五、产品方案</w:t>
      </w:r>
    </w:p>
    <w:p w14:paraId="12457FF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4" w:firstLineChars="200"/>
        <w:textAlignment w:val="baseline"/>
        <w:rPr>
          <w:rFonts w:hint="eastAsia" w:ascii="仿宋_GB2312" w:hAnsi="仿宋_GB2312" w:eastAsia="仿宋_GB2312" w:cs="仿宋_GB2312"/>
          <w:color w:val="000000" w:themeColor="text1"/>
          <w:spacing w:val="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该</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矿为建筑用砂矿，产品方案为矿石粒径0.15～5mm、5～20mm、20～40mm三个粒级的砂石料</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w:t>
      </w:r>
    </w:p>
    <w:p w14:paraId="71B94734">
      <w:pPr>
        <w:keepNext w:val="0"/>
        <w:keepLines w:val="0"/>
        <w:pageBreakBefore w:val="0"/>
        <w:widowControl w:val="0"/>
        <w:wordWrap/>
        <w:overflowPunct/>
        <w:topLinePunct w:val="0"/>
        <w:autoSpaceDE w:val="0"/>
        <w:autoSpaceDN w:val="0"/>
        <w:bidi w:val="0"/>
        <w:adjustRightInd w:val="0"/>
        <w:snapToGrid w:val="0"/>
        <w:spacing w:line="560" w:lineRule="exact"/>
        <w:ind w:firstLine="548" w:firstLineChars="200"/>
        <w:outlineLvl w:val="0"/>
        <w:rPr>
          <w:rFonts w:hint="eastAsia" w:ascii="黑体" w:hAnsi="黑体" w:eastAsia="黑体" w:cs="黑体"/>
          <w:b w:val="0"/>
          <w:bCs w:val="0"/>
          <w:color w:val="000000" w:themeColor="text1"/>
          <w:spacing w:val="-1"/>
          <w:sz w:val="28"/>
          <w:szCs w:val="28"/>
          <w14:textFill>
            <w14:solidFill>
              <w14:schemeClr w14:val="tx1"/>
            </w14:solidFill>
          </w14:textFill>
        </w:rPr>
      </w:pPr>
      <w:r>
        <w:rPr>
          <w:rFonts w:hint="eastAsia" w:ascii="黑体" w:hAnsi="黑体" w:eastAsia="黑体" w:cs="黑体"/>
          <w:b w:val="0"/>
          <w:bCs w:val="0"/>
          <w:color w:val="000000" w:themeColor="text1"/>
          <w:spacing w:val="-3"/>
          <w:sz w:val="28"/>
          <w:szCs w:val="28"/>
          <w14:textFill>
            <w14:solidFill>
              <w14:schemeClr w14:val="tx1"/>
            </w14:solidFill>
          </w14:textFill>
        </w:rPr>
        <w:t>六、</w:t>
      </w:r>
      <w:r>
        <w:rPr>
          <w:rFonts w:hint="eastAsia" w:ascii="黑体" w:hAnsi="黑体" w:eastAsia="黑体" w:cs="黑体"/>
          <w:b w:val="0"/>
          <w:bCs w:val="0"/>
          <w:color w:val="000000" w:themeColor="text1"/>
          <w:spacing w:val="-4"/>
          <w:sz w:val="28"/>
          <w:szCs w:val="28"/>
          <w14:textFill>
            <w14:solidFill>
              <w14:schemeClr w14:val="tx1"/>
            </w14:solidFill>
          </w14:textFill>
        </w:rPr>
        <w:t>绿色矿山建设</w:t>
      </w:r>
    </w:p>
    <w:p w14:paraId="7C7E94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4" w:firstLineChars="200"/>
        <w:textAlignment w:val="baseline"/>
        <w:rPr>
          <w:rFonts w:hint="eastAsia"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设计采取的开采工艺以及选矿工艺符合本行业绿色矿山建设规范和节约与综合利用要求。设计采矿回采率、选矿回收率、综合利用率指标为：</w:t>
      </w:r>
    </w:p>
    <w:p w14:paraId="19DC519D">
      <w:pPr>
        <w:keepNext w:val="0"/>
        <w:keepLines w:val="0"/>
        <w:pageBreakBefore w:val="0"/>
        <w:widowControl w:val="0"/>
        <w:wordWrap/>
        <w:overflowPunct/>
        <w:topLinePunct w:val="0"/>
        <w:autoSpaceDE w:val="0"/>
        <w:autoSpaceDN w:val="0"/>
        <w:bidi w:val="0"/>
        <w:adjustRightInd w:val="0"/>
        <w:snapToGrid w:val="0"/>
        <w:spacing w:line="560" w:lineRule="exact"/>
        <w:ind w:firstLine="544" w:firstLineChars="200"/>
        <w:rPr>
          <w:rFonts w:hint="eastAsia"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采矿回采率：</w:t>
      </w:r>
      <w:r>
        <w:rPr>
          <w:rFonts w:hint="eastAsia" w:ascii="仿宋_GB2312" w:hAnsi="仿宋_GB2312" w:eastAsia="仿宋_GB2312" w:cs="仿宋_GB2312"/>
          <w:color w:val="000000" w:themeColor="text1"/>
          <w:spacing w:val="-4"/>
          <w:sz w:val="28"/>
          <w:szCs w:val="28"/>
          <w:lang w:val="zh-CN"/>
          <w14:textFill>
            <w14:solidFill>
              <w14:schemeClr w14:val="tx1"/>
            </w14:solidFill>
          </w14:textFill>
        </w:rPr>
        <w:t>根据</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《砂石行业绿色矿山建设规范》（DZ/T0316-2018）</w:t>
      </w:r>
      <w:r>
        <w:rPr>
          <w:rFonts w:hint="eastAsia" w:ascii="仿宋_GB2312" w:hAnsi="仿宋_GB2312" w:eastAsia="仿宋_GB2312" w:cs="仿宋_GB2312"/>
          <w:color w:val="000000" w:themeColor="text1"/>
          <w:spacing w:val="-4"/>
          <w:sz w:val="28"/>
          <w:szCs w:val="28"/>
          <w:lang w:val="zh-CN"/>
          <w14:textFill>
            <w14:solidFill>
              <w14:schemeClr w14:val="tx1"/>
            </w14:solidFill>
          </w14:textFill>
        </w:rPr>
        <w:t>，建筑</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用砂</w:t>
      </w:r>
      <w:r>
        <w:rPr>
          <w:rFonts w:hint="eastAsia" w:ascii="仿宋_GB2312" w:hAnsi="仿宋_GB2312" w:eastAsia="仿宋_GB2312" w:cs="仿宋_GB2312"/>
          <w:color w:val="000000" w:themeColor="text1"/>
          <w:spacing w:val="-4"/>
          <w:sz w:val="28"/>
          <w:szCs w:val="28"/>
          <w:lang w:val="zh-CN"/>
          <w14:textFill>
            <w14:solidFill>
              <w14:schemeClr w14:val="tx1"/>
            </w14:solidFill>
          </w14:textFill>
        </w:rPr>
        <w:t>石料露天开采回采率不小于95%。该矿设计采用露天开采方式，采矿回采率</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98</w:t>
      </w:r>
      <w:r>
        <w:rPr>
          <w:rFonts w:hint="eastAsia" w:ascii="仿宋_GB2312" w:hAnsi="仿宋_GB2312" w:eastAsia="仿宋_GB2312" w:cs="仿宋_GB2312"/>
          <w:color w:val="000000" w:themeColor="text1"/>
          <w:spacing w:val="-4"/>
          <w:sz w:val="28"/>
          <w:szCs w:val="28"/>
          <w:lang w:val="zh-CN"/>
          <w14:textFill>
            <w14:solidFill>
              <w14:schemeClr w14:val="tx1"/>
            </w14:solidFill>
          </w14:textFill>
        </w:rPr>
        <w:t>%，满足指标要求</w:t>
      </w:r>
      <w:r>
        <w:rPr>
          <w:rFonts w:hint="eastAsia" w:ascii="仿宋_GB2312" w:hAnsi="仿宋_GB2312" w:eastAsia="仿宋_GB2312" w:cs="仿宋_GB2312"/>
          <w:color w:val="000000" w:themeColor="text1"/>
          <w:spacing w:val="-4"/>
          <w:sz w:val="28"/>
          <w:szCs w:val="28"/>
          <w14:textFill>
            <w14:solidFill>
              <w14:schemeClr w14:val="tx1"/>
            </w14:solidFill>
          </w14:textFill>
        </w:rPr>
        <w:t>。</w:t>
      </w:r>
    </w:p>
    <w:p w14:paraId="43EA7837">
      <w:pPr>
        <w:keepNext w:val="0"/>
        <w:keepLines w:val="0"/>
        <w:pageBreakBefore w:val="0"/>
        <w:widowControl w:val="0"/>
        <w:wordWrap/>
        <w:overflowPunct/>
        <w:topLinePunct w:val="0"/>
        <w:autoSpaceDE w:val="0"/>
        <w:autoSpaceDN w:val="0"/>
        <w:bidi w:val="0"/>
        <w:adjustRightInd w:val="0"/>
        <w:snapToGrid w:val="0"/>
        <w:spacing w:line="560" w:lineRule="exact"/>
        <w:ind w:firstLine="564" w:firstLineChars="200"/>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选矿回收率：</w:t>
      </w:r>
      <w:r>
        <w:rPr>
          <w:rFonts w:hint="eastAsia" w:ascii="仿宋_GB2312" w:hAnsi="仿宋_GB2312" w:eastAsia="仿宋_GB2312" w:cs="仿宋_GB2312"/>
          <w:color w:val="auto"/>
          <w:spacing w:val="1"/>
          <w:sz w:val="28"/>
          <w:szCs w:val="28"/>
          <w:lang w:val="en-US" w:eastAsia="zh-CN"/>
        </w:rPr>
        <w:t>本矿无需选矿，回收利用率100%</w:t>
      </w:r>
      <w:r>
        <w:rPr>
          <w:rFonts w:hint="eastAsia" w:ascii="仿宋_GB2312" w:hAnsi="仿宋_GB2312" w:eastAsia="仿宋_GB2312" w:cs="仿宋_GB2312"/>
          <w:color w:val="auto"/>
          <w:spacing w:val="1"/>
          <w:sz w:val="28"/>
          <w:szCs w:val="28"/>
        </w:rPr>
        <w:t>。</w:t>
      </w:r>
    </w:p>
    <w:p w14:paraId="043CF816">
      <w:pPr>
        <w:keepNext w:val="0"/>
        <w:keepLines w:val="0"/>
        <w:pageBreakBefore w:val="0"/>
        <w:widowControl w:val="0"/>
        <w:wordWrap/>
        <w:overflowPunct/>
        <w:topLinePunct w:val="0"/>
        <w:autoSpaceDE w:val="0"/>
        <w:autoSpaceDN w:val="0"/>
        <w:bidi w:val="0"/>
        <w:adjustRightInd w:val="0"/>
        <w:snapToGrid w:val="0"/>
        <w:spacing w:line="560" w:lineRule="exact"/>
        <w:ind w:firstLine="564" w:firstLineChars="200"/>
        <w:rPr>
          <w:rFonts w:hint="eastAsia" w:ascii="仿宋_GB2312" w:hAnsi="仿宋_GB2312" w:eastAsia="仿宋_GB2312" w:cs="仿宋_GB2312"/>
          <w:color w:val="000000" w:themeColor="text1"/>
          <w:spacing w:val="1"/>
          <w:sz w:val="28"/>
          <w:szCs w:val="28"/>
          <w14:textFill>
            <w14:solidFill>
              <w14:schemeClr w14:val="tx1"/>
            </w14:solidFill>
          </w14:textFill>
        </w:rPr>
      </w:pPr>
      <w:bookmarkStart w:id="3" w:name="_Hlk91925669"/>
      <w:r>
        <w:rPr>
          <w:rFonts w:hint="eastAsia" w:ascii="仿宋_GB2312" w:hAnsi="仿宋_GB2312" w:eastAsia="仿宋_GB2312" w:cs="仿宋_GB2312"/>
          <w:color w:val="auto"/>
          <w:spacing w:val="1"/>
          <w:sz w:val="28"/>
          <w:szCs w:val="28"/>
        </w:rPr>
        <w:t>综合利用率：</w:t>
      </w:r>
      <w:bookmarkEnd w:id="3"/>
      <w:r>
        <w:rPr>
          <w:rFonts w:hint="eastAsia" w:ascii="仿宋_GB2312" w:hAnsi="仿宋_GB2312" w:eastAsia="仿宋_GB2312" w:cs="仿宋_GB2312"/>
          <w:color w:val="auto"/>
          <w:spacing w:val="1"/>
          <w:sz w:val="28"/>
          <w:szCs w:val="28"/>
        </w:rPr>
        <w:t>本矿无共伴生矿，</w:t>
      </w:r>
      <w:r>
        <w:rPr>
          <w:rFonts w:hint="eastAsia" w:ascii="仿宋_GB2312" w:hAnsi="仿宋_GB2312" w:eastAsia="仿宋_GB2312" w:cs="仿宋_GB2312"/>
          <w:color w:val="000000" w:themeColor="text1"/>
          <w:spacing w:val="-4"/>
          <w:sz w:val="28"/>
          <w:szCs w:val="28"/>
          <w:lang w:val="en-US" w:eastAsia="zh-CN"/>
          <w14:textFill>
            <w14:solidFill>
              <w14:schemeClr w14:val="tx1"/>
            </w14:solidFill>
          </w14:textFill>
        </w:rPr>
        <w:t>采出经筛分后，</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矿石</w:t>
      </w:r>
      <w:r>
        <w:rPr>
          <w:rFonts w:hint="eastAsia" w:ascii="仿宋_GB2312" w:hAnsi="仿宋_GB2312" w:eastAsia="仿宋_GB2312" w:cs="仿宋_GB2312"/>
          <w:color w:val="000000" w:themeColor="text1"/>
          <w:spacing w:val="1"/>
          <w:sz w:val="28"/>
          <w:szCs w:val="28"/>
          <w14:textFill>
            <w14:solidFill>
              <w14:schemeClr w14:val="tx1"/>
            </w14:solidFill>
          </w14:textFill>
        </w:rPr>
        <w:t>利用率</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83.70</w:t>
      </w:r>
      <w:r>
        <w:rPr>
          <w:rFonts w:hint="eastAsia" w:ascii="仿宋_GB2312" w:hAnsi="仿宋_GB2312" w:eastAsia="仿宋_GB2312" w:cs="仿宋_GB2312"/>
          <w:color w:val="000000" w:themeColor="text1"/>
          <w:spacing w:val="1"/>
          <w:sz w:val="28"/>
          <w:szCs w:val="28"/>
          <w14:textFill>
            <w14:solidFill>
              <w14:schemeClr w14:val="tx1"/>
            </w14:solidFill>
          </w14:textFill>
        </w:rPr>
        <w:t>%。</w:t>
      </w:r>
    </w:p>
    <w:p w14:paraId="30A6277E">
      <w:pPr>
        <w:keepNext w:val="0"/>
        <w:keepLines w:val="0"/>
        <w:pageBreakBefore w:val="0"/>
        <w:widowControl w:val="0"/>
        <w:wordWrap/>
        <w:overflowPunct/>
        <w:topLinePunct w:val="0"/>
        <w:autoSpaceDE w:val="0"/>
        <w:autoSpaceDN w:val="0"/>
        <w:bidi w:val="0"/>
        <w:adjustRightInd w:val="0"/>
        <w:snapToGrid w:val="0"/>
        <w:spacing w:line="560" w:lineRule="exact"/>
        <w:ind w:firstLine="544" w:firstLineChars="200"/>
        <w:outlineLvl w:val="0"/>
        <w:rPr>
          <w:rFonts w:hint="eastAsia" w:ascii="黑体" w:hAnsi="黑体" w:eastAsia="黑体" w:cs="黑体"/>
          <w:b w:val="0"/>
          <w:bCs w:val="0"/>
          <w:color w:val="000000" w:themeColor="text1"/>
          <w:spacing w:val="-2"/>
          <w:sz w:val="28"/>
          <w:szCs w:val="28"/>
          <w14:textFill>
            <w14:solidFill>
              <w14:schemeClr w14:val="tx1"/>
            </w14:solidFill>
          </w14:textFill>
        </w:rPr>
      </w:pPr>
      <w:r>
        <w:rPr>
          <w:rFonts w:hint="eastAsia" w:ascii="黑体" w:hAnsi="黑体" w:eastAsia="黑体" w:cs="黑体"/>
          <w:b w:val="0"/>
          <w:bCs w:val="0"/>
          <w:color w:val="000000" w:themeColor="text1"/>
          <w:spacing w:val="-4"/>
          <w:sz w:val="28"/>
          <w:szCs w:val="28"/>
          <w14:textFill>
            <w14:solidFill>
              <w14:schemeClr w14:val="tx1"/>
            </w14:solidFill>
          </w14:textFill>
        </w:rPr>
        <w:t>七、矿区地质环境</w:t>
      </w:r>
      <w:bookmarkStart w:id="4" w:name="_Hlk91925963"/>
      <w:r>
        <w:rPr>
          <w:rFonts w:hint="eastAsia" w:ascii="黑体" w:hAnsi="黑体" w:eastAsia="黑体" w:cs="黑体"/>
          <w:b w:val="0"/>
          <w:bCs w:val="0"/>
          <w:color w:val="000000" w:themeColor="text1"/>
          <w:spacing w:val="-4"/>
          <w:sz w:val="28"/>
          <w:szCs w:val="28"/>
          <w14:textFill>
            <w14:solidFill>
              <w14:schemeClr w14:val="tx1"/>
            </w14:solidFill>
          </w14:textFill>
        </w:rPr>
        <w:t>治</w:t>
      </w:r>
      <w:r>
        <w:rPr>
          <w:rFonts w:hint="eastAsia" w:ascii="黑体" w:hAnsi="黑体" w:eastAsia="黑体" w:cs="黑体"/>
          <w:b w:val="0"/>
          <w:bCs w:val="0"/>
          <w:color w:val="000000" w:themeColor="text1"/>
          <w:spacing w:val="-11"/>
          <w:sz w:val="28"/>
          <w:szCs w:val="28"/>
          <w14:textFill>
            <w14:solidFill>
              <w14:schemeClr w14:val="tx1"/>
            </w14:solidFill>
          </w14:textFill>
        </w:rPr>
        <w:t>理恢复</w:t>
      </w:r>
      <w:bookmarkEnd w:id="4"/>
    </w:p>
    <w:p w14:paraId="37A9D133">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（一）本次工作查明了矿山环境现状，分析了矿山环境发展趋势，其论述内容基本全面，结论基本正确。</w:t>
      </w:r>
    </w:p>
    <w:p w14:paraId="54A4EF3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（二）确定评估级别为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级，评估区面积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0.286842</w:t>
      </w:r>
      <w:r>
        <w:rPr>
          <w:rFonts w:hint="eastAsia" w:ascii="仿宋_GB2312" w:hAnsi="仿宋_GB2312" w:eastAsia="仿宋_GB2312" w:cs="仿宋_GB2312"/>
          <w:color w:val="000000" w:themeColor="text1"/>
          <w:sz w:val="28"/>
          <w:szCs w:val="28"/>
          <w:lang w:eastAsia="zh-CN"/>
          <w14:textFill>
            <w14:solidFill>
              <w14:schemeClr w14:val="tx1"/>
            </w14:solidFill>
          </w14:textFill>
        </w:rPr>
        <w:t>km</w:t>
      </w:r>
      <w:r>
        <w:rPr>
          <w:rFonts w:hint="eastAsia" w:ascii="仿宋_GB2312" w:hAnsi="仿宋_GB2312" w:eastAsia="仿宋_GB2312" w:cs="仿宋_GB2312"/>
          <w:color w:val="000000" w:themeColor="text1"/>
          <w:sz w:val="28"/>
          <w:szCs w:val="28"/>
          <w:vertAlign w:val="superscript"/>
          <w:lang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，评估等级划分正确，评估范围确定合理。</w:t>
      </w:r>
    </w:p>
    <w:p w14:paraId="687770B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对矿山地质环境影响进行了现状分析评估，根据评估区内地质灾害、含水层破坏、地形地貌景观影响、水土环境污染、大气污染等五方面的现状评估结果，考虑各方面影响情况和影响面积的叠加，矿山地质环境影响现状评估划分为较轻区1个区，为整个评估区区域，面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28.6842</w:t>
      </w:r>
      <w:r>
        <w:rPr>
          <w:rFonts w:hint="eastAsia" w:ascii="仿宋_GB2312" w:hAnsi="仿宋_GB2312" w:eastAsia="仿宋_GB2312" w:cs="仿宋_GB2312"/>
          <w:color w:val="000000" w:themeColor="text1"/>
          <w:sz w:val="28"/>
          <w:szCs w:val="28"/>
          <w14:textFill>
            <w14:solidFill>
              <w14:schemeClr w14:val="tx1"/>
            </w14:solidFill>
          </w14:textFill>
        </w:rPr>
        <w:t>hm</w:t>
      </w:r>
      <w:r>
        <w:rPr>
          <w:rFonts w:hint="eastAsia" w:ascii="仿宋_GB2312" w:hAnsi="仿宋_GB2312" w:eastAsia="仿宋_GB2312" w:cs="仿宋_GB2312"/>
          <w:color w:val="000000" w:themeColor="text1"/>
          <w:sz w:val="28"/>
          <w:szCs w:val="28"/>
          <w:vertAlign w:val="superscript"/>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w:t>
      </w:r>
    </w:p>
    <w:p w14:paraId="212BB7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采矿活动对矿山地质环境的影响进行了预测评估，根据评估区内地质灾害、含水层破坏、地形地貌景观影响、水土环境污染、大气污染等五方面的预测评估结果，考虑各方面影响情况和影响面积的叠加，将评估区内矿山地质环境影响预测评估区划分为严重区、较严重区和较轻区3个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rPr>
        <w:t>评估区总面积</w:t>
      </w:r>
      <w:r>
        <w:rPr>
          <w:rFonts w:hint="eastAsia" w:ascii="仿宋_GB2312" w:hAnsi="仿宋_GB2312" w:eastAsia="仿宋_GB2312" w:cs="仿宋_GB2312"/>
          <w:color w:val="auto"/>
          <w:kern w:val="0"/>
          <w:sz w:val="28"/>
          <w:szCs w:val="28"/>
          <w:lang w:val="en-US" w:eastAsia="zh-CN"/>
        </w:rPr>
        <w:t>28.6842</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，其中：严重区：面积</w:t>
      </w:r>
      <w:r>
        <w:rPr>
          <w:rFonts w:hint="eastAsia" w:ascii="仿宋_GB2312" w:hAnsi="仿宋_GB2312" w:eastAsia="仿宋_GB2312" w:cs="仿宋_GB2312"/>
          <w:color w:val="auto"/>
          <w:kern w:val="0"/>
          <w:sz w:val="28"/>
          <w:szCs w:val="28"/>
          <w:lang w:val="en-US" w:eastAsia="zh-CN"/>
        </w:rPr>
        <w:t>19.05</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，包括</w:t>
      </w:r>
      <w:r>
        <w:rPr>
          <w:rFonts w:hint="eastAsia" w:ascii="仿宋_GB2312" w:hAnsi="仿宋_GB2312" w:eastAsia="仿宋_GB2312" w:cs="仿宋_GB2312"/>
          <w:color w:val="auto"/>
          <w:kern w:val="0"/>
          <w:sz w:val="28"/>
          <w:szCs w:val="28"/>
          <w:lang w:val="en-US" w:eastAsia="zh-CN"/>
        </w:rPr>
        <w:t>规划</w:t>
      </w:r>
      <w:r>
        <w:rPr>
          <w:rFonts w:hint="eastAsia" w:ascii="仿宋_GB2312" w:hAnsi="仿宋_GB2312" w:eastAsia="仿宋_GB2312" w:cs="仿宋_GB2312"/>
          <w:color w:val="auto"/>
          <w:kern w:val="0"/>
          <w:sz w:val="28"/>
          <w:szCs w:val="28"/>
          <w:lang w:eastAsia="zh-CN"/>
        </w:rPr>
        <w:t>露天采场（内含</w:t>
      </w:r>
      <w:r>
        <w:rPr>
          <w:rFonts w:hint="eastAsia" w:ascii="仿宋_GB2312" w:hAnsi="仿宋_GB2312" w:eastAsia="仿宋_GB2312" w:cs="仿宋_GB2312"/>
          <w:b w:val="0"/>
          <w:bCs w:val="0"/>
          <w:color w:val="auto"/>
          <w:sz w:val="28"/>
          <w:szCs w:val="28"/>
          <w:lang w:val="en-US" w:eastAsia="zh-CN"/>
        </w:rPr>
        <w:t>规划</w:t>
      </w:r>
      <w:r>
        <w:rPr>
          <w:rFonts w:hint="eastAsia" w:ascii="仿宋_GB2312" w:hAnsi="仿宋_GB2312" w:eastAsia="仿宋_GB2312" w:cs="仿宋_GB2312"/>
          <w:b w:val="0"/>
          <w:bCs w:val="0"/>
          <w:color w:val="auto"/>
          <w:sz w:val="28"/>
          <w:szCs w:val="28"/>
        </w:rPr>
        <w:t>工业场地、</w:t>
      </w:r>
      <w:r>
        <w:rPr>
          <w:rFonts w:hint="eastAsia" w:ascii="仿宋_GB2312" w:hAnsi="仿宋_GB2312" w:eastAsia="仿宋_GB2312" w:cs="仿宋_GB2312"/>
          <w:b w:val="0"/>
          <w:bCs w:val="0"/>
          <w:color w:val="auto"/>
          <w:sz w:val="28"/>
          <w:szCs w:val="28"/>
          <w:lang w:val="en-US" w:eastAsia="zh-CN"/>
        </w:rPr>
        <w:t>规划废石及泥渣堆放场、拟设采矿权范围内矿山道路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区域</w:t>
      </w:r>
      <w:r>
        <w:rPr>
          <w:rFonts w:hint="eastAsia" w:ascii="仿宋_GB2312" w:hAnsi="仿宋_GB2312" w:eastAsia="仿宋_GB2312" w:cs="仿宋_GB2312"/>
          <w:color w:val="auto"/>
          <w:kern w:val="0"/>
          <w:sz w:val="28"/>
          <w:szCs w:val="28"/>
        </w:rPr>
        <w:t>；较严重区：面积</w:t>
      </w:r>
      <w:r>
        <w:rPr>
          <w:rFonts w:hint="eastAsia" w:ascii="仿宋_GB2312" w:hAnsi="仿宋_GB2312" w:eastAsia="仿宋_GB2312" w:cs="仿宋_GB2312"/>
          <w:color w:val="auto"/>
          <w:sz w:val="28"/>
          <w:szCs w:val="28"/>
          <w:lang w:val="en-US" w:eastAsia="zh-CN"/>
        </w:rPr>
        <w:t>0.27hm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，包括</w:t>
      </w:r>
      <w:r>
        <w:rPr>
          <w:rFonts w:hint="eastAsia" w:ascii="仿宋_GB2312" w:hAnsi="仿宋_GB2312" w:eastAsia="仿宋_GB2312" w:cs="仿宋_GB2312"/>
          <w:color w:val="auto"/>
          <w:kern w:val="0"/>
          <w:sz w:val="28"/>
          <w:szCs w:val="28"/>
          <w:lang w:val="en-US" w:eastAsia="zh-CN"/>
        </w:rPr>
        <w:t>拟设采矿权范围外规划</w:t>
      </w:r>
      <w:r>
        <w:rPr>
          <w:rFonts w:hint="eastAsia" w:ascii="仿宋_GB2312" w:hAnsi="仿宋_GB2312" w:eastAsia="仿宋_GB2312" w:cs="仿宋_GB2312"/>
          <w:b w:val="0"/>
          <w:bCs w:val="0"/>
          <w:color w:val="auto"/>
          <w:sz w:val="28"/>
          <w:szCs w:val="28"/>
        </w:rPr>
        <w:t>矿山道路</w:t>
      </w:r>
      <w:r>
        <w:rPr>
          <w:rFonts w:hint="eastAsia" w:ascii="仿宋_GB2312" w:hAnsi="仿宋_GB2312" w:eastAsia="仿宋_GB2312" w:cs="仿宋_GB2312"/>
          <w:b w:val="0"/>
          <w:bCs w:val="0"/>
          <w:color w:val="auto"/>
          <w:sz w:val="28"/>
          <w:szCs w:val="28"/>
          <w:lang w:val="en-US" w:eastAsia="zh-CN"/>
        </w:rPr>
        <w:t>区域；</w:t>
      </w:r>
      <w:r>
        <w:rPr>
          <w:rFonts w:hint="eastAsia" w:ascii="仿宋_GB2312" w:hAnsi="仿宋_GB2312" w:eastAsia="仿宋_GB2312" w:cs="仿宋_GB2312"/>
          <w:color w:val="auto"/>
          <w:kern w:val="0"/>
          <w:sz w:val="28"/>
          <w:szCs w:val="28"/>
        </w:rPr>
        <w:t>较轻区：面积</w:t>
      </w:r>
      <w:r>
        <w:rPr>
          <w:rFonts w:hint="eastAsia" w:ascii="仿宋_GB2312" w:hAnsi="仿宋_GB2312" w:eastAsia="仿宋_GB2312" w:cs="仿宋_GB2312"/>
          <w:color w:val="auto"/>
          <w:kern w:val="0"/>
          <w:sz w:val="28"/>
          <w:szCs w:val="28"/>
          <w:lang w:val="en-US" w:eastAsia="zh-CN"/>
        </w:rPr>
        <w:t>9.3642hm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包括评估区除上述以外其他区域。</w:t>
      </w:r>
    </w:p>
    <w:p w14:paraId="7634704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（五）确定了矿山环境保护与治理恢复的原则、目标和任务，对矿区进行了矿山环境保护与治理恢复分区，并提出了具体的保护、治理以及监测方案，并进行了经费概算。</w:t>
      </w:r>
    </w:p>
    <w:p w14:paraId="71493368">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1、矿山环境保护与综合治理分区</w:t>
      </w:r>
    </w:p>
    <w:p w14:paraId="0A16A344">
      <w:pPr>
        <w:pStyle w:val="34"/>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矿山地质环境保护与恢复治理分区划分为矿山地质环境重点防治区（</w:t>
      </w:r>
      <w:r>
        <w:rPr>
          <w:rFonts w:hint="eastAsia" w:ascii="仿宋_GB2312" w:hAnsi="仿宋_GB2312" w:eastAsia="仿宋_GB2312" w:cs="仿宋_GB2312"/>
          <w:color w:val="auto"/>
          <w:sz w:val="28"/>
          <w:szCs w:val="28"/>
        </w:rPr>
        <w:t>Ⅰ</w:t>
      </w:r>
      <w:r>
        <w:rPr>
          <w:rFonts w:hint="eastAsia" w:ascii="仿宋_GB2312" w:hAnsi="仿宋_GB2312" w:eastAsia="仿宋_GB2312" w:cs="仿宋_GB2312"/>
          <w:color w:val="auto"/>
          <w:kern w:val="0"/>
          <w:sz w:val="28"/>
          <w:szCs w:val="28"/>
        </w:rPr>
        <w:t>）、次重点防治区（</w:t>
      </w:r>
      <w:r>
        <w:rPr>
          <w:rFonts w:hint="eastAsia" w:ascii="仿宋_GB2312" w:hAnsi="仿宋_GB2312" w:eastAsia="仿宋_GB2312" w:cs="仿宋_GB2312"/>
          <w:color w:val="auto"/>
          <w:sz w:val="28"/>
          <w:szCs w:val="28"/>
        </w:rPr>
        <w:t>Ⅱ</w:t>
      </w:r>
      <w:r>
        <w:rPr>
          <w:rFonts w:hint="eastAsia" w:ascii="仿宋_GB2312" w:hAnsi="仿宋_GB2312" w:eastAsia="仿宋_GB2312" w:cs="仿宋_GB2312"/>
          <w:color w:val="auto"/>
          <w:kern w:val="0"/>
          <w:sz w:val="28"/>
          <w:szCs w:val="28"/>
        </w:rPr>
        <w:t>）和矿山地质环境一般防治区（Ⅲ），分区总面积</w:t>
      </w:r>
      <w:r>
        <w:rPr>
          <w:rFonts w:hint="eastAsia" w:ascii="仿宋_GB2312" w:hAnsi="仿宋_GB2312" w:eastAsia="仿宋_GB2312" w:cs="仿宋_GB2312"/>
          <w:color w:val="auto"/>
          <w:kern w:val="0"/>
          <w:sz w:val="28"/>
          <w:szCs w:val="28"/>
          <w:lang w:val="en-US" w:eastAsia="zh-CN"/>
        </w:rPr>
        <w:t>28.6842</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，其中：重点防治区（</w:t>
      </w:r>
      <w:r>
        <w:rPr>
          <w:rFonts w:hint="eastAsia" w:ascii="仿宋_GB2312" w:hAnsi="仿宋_GB2312" w:eastAsia="仿宋_GB2312" w:cs="仿宋_GB2312"/>
          <w:color w:val="auto"/>
          <w:sz w:val="28"/>
          <w:szCs w:val="28"/>
        </w:rPr>
        <w:t>Ⅰ</w:t>
      </w:r>
      <w:r>
        <w:rPr>
          <w:rFonts w:hint="eastAsia" w:ascii="仿宋_GB2312" w:hAnsi="仿宋_GB2312" w:eastAsia="仿宋_GB2312" w:cs="仿宋_GB2312"/>
          <w:color w:val="auto"/>
          <w:kern w:val="0"/>
          <w:sz w:val="28"/>
          <w:szCs w:val="28"/>
        </w:rPr>
        <w:t>）面积</w:t>
      </w:r>
      <w:r>
        <w:rPr>
          <w:rFonts w:hint="eastAsia" w:ascii="仿宋_GB2312" w:hAnsi="仿宋_GB2312" w:eastAsia="仿宋_GB2312" w:cs="仿宋_GB2312"/>
          <w:color w:val="auto"/>
          <w:kern w:val="0"/>
          <w:sz w:val="28"/>
          <w:szCs w:val="28"/>
          <w:lang w:val="en-US" w:eastAsia="zh-CN"/>
        </w:rPr>
        <w:t>19.05</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，包括</w:t>
      </w:r>
      <w:r>
        <w:rPr>
          <w:rFonts w:hint="eastAsia" w:ascii="仿宋_GB2312" w:hAnsi="仿宋_GB2312" w:eastAsia="仿宋_GB2312" w:cs="仿宋_GB2312"/>
          <w:color w:val="auto"/>
          <w:kern w:val="0"/>
          <w:sz w:val="28"/>
          <w:szCs w:val="28"/>
          <w:lang w:eastAsia="zh-CN"/>
        </w:rPr>
        <w:t>规划露天采场（内含</w:t>
      </w:r>
      <w:r>
        <w:rPr>
          <w:rFonts w:hint="eastAsia" w:ascii="仿宋_GB2312" w:hAnsi="仿宋_GB2312" w:eastAsia="仿宋_GB2312" w:cs="仿宋_GB2312"/>
          <w:b w:val="0"/>
          <w:bCs w:val="0"/>
          <w:color w:val="auto"/>
          <w:sz w:val="28"/>
          <w:szCs w:val="28"/>
          <w:lang w:val="en-US" w:eastAsia="zh-CN"/>
        </w:rPr>
        <w:t>规划</w:t>
      </w:r>
      <w:r>
        <w:rPr>
          <w:rFonts w:hint="eastAsia" w:ascii="仿宋_GB2312" w:hAnsi="仿宋_GB2312" w:eastAsia="仿宋_GB2312" w:cs="仿宋_GB2312"/>
          <w:b w:val="0"/>
          <w:bCs w:val="0"/>
          <w:color w:val="auto"/>
          <w:sz w:val="28"/>
          <w:szCs w:val="28"/>
        </w:rPr>
        <w:t>工业场地、</w:t>
      </w:r>
      <w:r>
        <w:rPr>
          <w:rFonts w:hint="eastAsia" w:ascii="仿宋_GB2312" w:hAnsi="仿宋_GB2312" w:eastAsia="仿宋_GB2312" w:cs="仿宋_GB2312"/>
          <w:b w:val="0"/>
          <w:bCs w:val="0"/>
          <w:color w:val="auto"/>
          <w:sz w:val="28"/>
          <w:szCs w:val="28"/>
          <w:lang w:val="en-US" w:eastAsia="zh-CN"/>
        </w:rPr>
        <w:t>规划废石及泥渣堆放场、拟设采矿权范围内矿山道路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28"/>
          <w:szCs w:val="28"/>
          <w:lang w:val="en-US" w:eastAsia="zh-CN"/>
        </w:rPr>
        <w:t>区域</w:t>
      </w:r>
      <w:r>
        <w:rPr>
          <w:rFonts w:hint="eastAsia" w:ascii="仿宋_GB2312" w:hAnsi="仿宋_GB2312" w:eastAsia="仿宋_GB2312" w:cs="仿宋_GB2312"/>
          <w:color w:val="auto"/>
          <w:sz w:val="28"/>
          <w:szCs w:val="28"/>
        </w:rPr>
        <w:t>；次重点防治区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Ⅱ</w:t>
      </w:r>
      <w:r>
        <w:rPr>
          <w:rFonts w:hint="eastAsia" w:ascii="仿宋_GB2312" w:hAnsi="仿宋_GB2312" w:eastAsia="仿宋_GB2312" w:cs="仿宋_GB2312"/>
          <w:color w:val="auto"/>
          <w:kern w:val="0"/>
          <w:sz w:val="28"/>
          <w:szCs w:val="28"/>
        </w:rPr>
        <w:t>）面积</w:t>
      </w:r>
      <w:r>
        <w:rPr>
          <w:rFonts w:hint="eastAsia" w:ascii="仿宋_GB2312" w:hAnsi="仿宋_GB2312" w:eastAsia="仿宋_GB2312" w:cs="仿宋_GB2312"/>
          <w:color w:val="auto"/>
          <w:sz w:val="28"/>
          <w:szCs w:val="28"/>
          <w:lang w:val="en-US" w:eastAsia="zh-CN"/>
        </w:rPr>
        <w:t>0.27</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，包括</w:t>
      </w:r>
      <w:r>
        <w:rPr>
          <w:rFonts w:hint="eastAsia" w:ascii="仿宋_GB2312" w:hAnsi="仿宋_GB2312" w:eastAsia="仿宋_GB2312" w:cs="仿宋_GB2312"/>
          <w:b w:val="0"/>
          <w:bCs w:val="0"/>
          <w:color w:val="auto"/>
          <w:sz w:val="28"/>
          <w:szCs w:val="28"/>
          <w:lang w:val="en-US" w:eastAsia="zh-CN"/>
        </w:rPr>
        <w:t>规划</w:t>
      </w:r>
      <w:r>
        <w:rPr>
          <w:rFonts w:hint="eastAsia" w:ascii="仿宋_GB2312" w:hAnsi="仿宋_GB2312" w:eastAsia="仿宋_GB2312" w:cs="仿宋_GB2312"/>
          <w:b w:val="0"/>
          <w:bCs w:val="0"/>
          <w:color w:val="auto"/>
          <w:sz w:val="28"/>
          <w:szCs w:val="28"/>
        </w:rPr>
        <w:t>矿山道路</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矿区外</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区域</w:t>
      </w:r>
      <w:r>
        <w:rPr>
          <w:rFonts w:hint="eastAsia" w:ascii="仿宋_GB2312" w:hAnsi="仿宋_GB2312" w:eastAsia="仿宋_GB2312" w:cs="仿宋_GB2312"/>
          <w:color w:val="auto"/>
          <w:kern w:val="0"/>
          <w:sz w:val="28"/>
          <w:szCs w:val="28"/>
        </w:rPr>
        <w:t>；一般防治区（Ⅲ）面积</w:t>
      </w:r>
      <w:r>
        <w:rPr>
          <w:rFonts w:hint="eastAsia" w:ascii="仿宋_GB2312" w:hAnsi="仿宋_GB2312" w:eastAsia="仿宋_GB2312" w:cs="仿宋_GB2312"/>
          <w:color w:val="auto"/>
          <w:kern w:val="0"/>
          <w:sz w:val="28"/>
          <w:szCs w:val="28"/>
          <w:lang w:val="en-US" w:eastAsia="zh-CN"/>
        </w:rPr>
        <w:t>9.3642hm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包括评估区除上述以外其他区域。</w:t>
      </w:r>
    </w:p>
    <w:p w14:paraId="69230F7F">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2、地质环境治理工程</w:t>
      </w:r>
    </w:p>
    <w:p w14:paraId="7238BEA7">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（1）矿山地质灾害防治及监测：</w:t>
      </w:r>
      <w:r>
        <w:rPr>
          <w:rFonts w:hint="eastAsia" w:ascii="仿宋_GB2312" w:hAnsi="仿宋_GB2312" w:eastAsia="仿宋_GB2312" w:cs="仿宋_GB2312"/>
          <w:color w:val="auto"/>
          <w:sz w:val="28"/>
          <w:szCs w:val="28"/>
          <w:lang w:val="en-US" w:eastAsia="zh-CN"/>
        </w:rPr>
        <w:t>基建期在规划</w:t>
      </w:r>
      <w:r>
        <w:rPr>
          <w:rFonts w:hint="eastAsia" w:ascii="仿宋_GB2312" w:hAnsi="仿宋_GB2312" w:eastAsia="仿宋_GB2312" w:cs="仿宋_GB2312"/>
          <w:color w:val="auto"/>
          <w:sz w:val="28"/>
          <w:szCs w:val="28"/>
          <w:lang w:eastAsia="zh-CN"/>
        </w:rPr>
        <w:t>露天采场</w:t>
      </w:r>
      <w:r>
        <w:rPr>
          <w:rFonts w:hint="eastAsia" w:ascii="仿宋_GB2312" w:hAnsi="仿宋_GB2312" w:eastAsia="仿宋_GB2312" w:cs="仿宋_GB2312"/>
          <w:color w:val="auto"/>
          <w:sz w:val="28"/>
          <w:szCs w:val="28"/>
        </w:rPr>
        <w:t>外围</w:t>
      </w:r>
      <w:r>
        <w:rPr>
          <w:rFonts w:hint="eastAsia" w:ascii="仿宋_GB2312" w:hAnsi="仿宋_GB2312" w:eastAsia="仿宋_GB2312" w:cs="仿宋_GB2312"/>
          <w:color w:val="auto"/>
          <w:sz w:val="28"/>
          <w:szCs w:val="28"/>
          <w:lang w:val="en-US" w:eastAsia="zh-CN"/>
        </w:rPr>
        <w:t>设置铁丝围栏1974m、警示牌20块；开</w:t>
      </w:r>
      <w:r>
        <w:rPr>
          <w:rFonts w:hint="eastAsia" w:ascii="仿宋_GB2312" w:hAnsi="仿宋_GB2312" w:eastAsia="仿宋_GB2312" w:cs="仿宋_GB2312"/>
          <w:color w:val="auto"/>
          <w:sz w:val="28"/>
          <w:szCs w:val="28"/>
        </w:rPr>
        <w:t>采期间如</w:t>
      </w:r>
      <w:r>
        <w:rPr>
          <w:rFonts w:hint="eastAsia" w:ascii="仿宋_GB2312" w:hAnsi="仿宋_GB2312" w:eastAsia="仿宋_GB2312" w:cs="仿宋_GB2312"/>
          <w:color w:val="auto"/>
          <w:sz w:val="28"/>
          <w:szCs w:val="28"/>
          <w:lang w:eastAsia="zh-CN"/>
        </w:rPr>
        <w:t>开采面边坡</w:t>
      </w:r>
      <w:r>
        <w:rPr>
          <w:rFonts w:hint="eastAsia" w:ascii="仿宋_GB2312" w:hAnsi="仿宋_GB2312" w:eastAsia="仿宋_GB2312" w:cs="仿宋_GB2312"/>
          <w:color w:val="auto"/>
          <w:sz w:val="28"/>
          <w:szCs w:val="28"/>
        </w:rPr>
        <w:t>出现危岩体或不稳定斜坡，及时采用机械定点清除，</w:t>
      </w:r>
      <w:r>
        <w:rPr>
          <w:rFonts w:hint="eastAsia" w:ascii="仿宋_GB2312" w:hAnsi="仿宋_GB2312" w:eastAsia="仿宋_GB2312" w:cs="仿宋_GB2312"/>
          <w:color w:val="auto"/>
          <w:sz w:val="28"/>
          <w:szCs w:val="28"/>
          <w:lang w:val="en-US" w:eastAsia="zh-CN"/>
        </w:rPr>
        <w:t>因工程量具不可预见性，</w:t>
      </w:r>
      <w:r>
        <w:rPr>
          <w:rFonts w:hint="eastAsia" w:ascii="仿宋_GB2312" w:hAnsi="仿宋_GB2312" w:eastAsia="仿宋_GB2312" w:cs="仿宋_GB2312"/>
          <w:color w:val="auto"/>
          <w:sz w:val="28"/>
          <w:szCs w:val="28"/>
        </w:rPr>
        <w:t>清理工程量计入</w:t>
      </w:r>
      <w:r>
        <w:rPr>
          <w:rFonts w:hint="eastAsia" w:ascii="仿宋_GB2312" w:hAnsi="仿宋_GB2312" w:eastAsia="仿宋_GB2312" w:cs="仿宋_GB2312"/>
          <w:color w:val="auto"/>
          <w:sz w:val="28"/>
          <w:szCs w:val="28"/>
          <w:lang w:val="en-US" w:eastAsia="zh-CN"/>
        </w:rPr>
        <w:t>开采</w:t>
      </w:r>
      <w:r>
        <w:rPr>
          <w:rFonts w:hint="eastAsia" w:ascii="仿宋_GB2312" w:hAnsi="仿宋_GB2312" w:eastAsia="仿宋_GB2312" w:cs="仿宋_GB2312"/>
          <w:color w:val="auto"/>
          <w:sz w:val="28"/>
          <w:szCs w:val="28"/>
        </w:rPr>
        <w:t>成本。对</w:t>
      </w:r>
      <w:r>
        <w:rPr>
          <w:rFonts w:hint="eastAsia" w:ascii="仿宋_GB2312" w:hAnsi="仿宋_GB2312" w:eastAsia="仿宋_GB2312" w:cs="仿宋_GB2312"/>
          <w:color w:val="auto"/>
          <w:sz w:val="28"/>
          <w:szCs w:val="28"/>
          <w:lang w:val="en-US" w:eastAsia="zh-CN"/>
        </w:rPr>
        <w:t>露天采场</w:t>
      </w:r>
      <w:r>
        <w:rPr>
          <w:rFonts w:hint="eastAsia" w:ascii="仿宋_GB2312" w:hAnsi="仿宋_GB2312" w:eastAsia="仿宋_GB2312" w:cs="仿宋_GB2312"/>
          <w:color w:val="auto"/>
          <w:sz w:val="28"/>
          <w:szCs w:val="28"/>
        </w:rPr>
        <w:t>边坡稳定性和围栏、警示牌加强监测与巡视，发现损毁及时修复，以提升预防功效，保留铁丝网围栏、警示牌，根据实际情况采取相应的措施。</w:t>
      </w:r>
    </w:p>
    <w:p w14:paraId="6211D82D">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（2）含水层破坏的预防、修复及监测：矿山无生产废水排放，生活污水经处理后用于降尘，不外排；矿山开采活动基本不影响附近水源水质；采矿活动对含水层影响程度较轻，因此矿山不对含水层进行监测。</w:t>
      </w:r>
    </w:p>
    <w:p w14:paraId="1D411CB7">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rPr>
        <w:t>（3）地形地貌景观破坏的预防、修复及监测：优化工程施工方案，避免和减少破坏地形地貌景观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严格控制露天采场范围，新掘出矿石及时消化，选用合适的综合利用技术，加大综合利用量，减少对地形地貌景观的破坏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采矿期间保护</w:t>
      </w:r>
      <w:r>
        <w:rPr>
          <w:rFonts w:hint="eastAsia" w:ascii="仿宋_GB2312" w:hAnsi="仿宋_GB2312" w:eastAsia="仿宋_GB2312" w:cs="仿宋_GB2312"/>
          <w:color w:val="auto"/>
          <w:sz w:val="28"/>
          <w:szCs w:val="28"/>
          <w:lang w:val="en-US" w:eastAsia="zh-CN"/>
        </w:rPr>
        <w:t>矿部</w:t>
      </w:r>
      <w:r>
        <w:rPr>
          <w:rFonts w:hint="eastAsia" w:ascii="仿宋_GB2312" w:hAnsi="仿宋_GB2312" w:eastAsia="仿宋_GB2312" w:cs="仿宋_GB2312"/>
          <w:color w:val="auto"/>
          <w:sz w:val="28"/>
          <w:szCs w:val="28"/>
        </w:rPr>
        <w:t>生活区内的卫生环境，增加绿化，美化环境，减少对地形地貌景观的破坏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矿山开采结束后，对采坑进行削高填低平整，与周边地形地貌相协调；工业广场区矿山闭坑后对建构（筑）物进行拆除，废弃物拉运至七全湖镇建筑垃圾填埋场填埋，对表部进行平整后恢复当地景观环境；对矿山路进行平整后，基本恢复当地景观环境。</w:t>
      </w:r>
      <w:r>
        <w:rPr>
          <w:rFonts w:hint="eastAsia" w:ascii="仿宋_GB2312" w:hAnsi="仿宋_GB2312" w:eastAsia="仿宋_GB2312" w:cs="仿宋_GB2312"/>
          <w:color w:val="auto"/>
          <w:sz w:val="28"/>
          <w:szCs w:val="28"/>
        </w:rPr>
        <w:t>针对开采区和矿山建设布局采用无人机监测，不专门设置监测点，监测频率1年监测</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次。</w:t>
      </w:r>
    </w:p>
    <w:p w14:paraId="53E307C8">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lang w:eastAsia="zh-CN"/>
        </w:rPr>
      </w:pPr>
      <w:bookmarkStart w:id="5" w:name="_Toc76982487"/>
      <w:bookmarkStart w:id="6" w:name="_Toc76982307"/>
      <w:bookmarkStart w:id="7" w:name="_Toc4933"/>
      <w:bookmarkStart w:id="8" w:name="_Toc76981923"/>
      <w:r>
        <w:rPr>
          <w:rFonts w:hint="eastAsia" w:ascii="仿宋_GB2312" w:hAnsi="仿宋_GB2312" w:eastAsia="仿宋_GB2312" w:cs="仿宋_GB2312"/>
          <w:color w:val="auto"/>
          <w:sz w:val="28"/>
          <w:szCs w:val="28"/>
        </w:rPr>
        <w:t>（4）水土环境污染</w:t>
      </w:r>
      <w:bookmarkEnd w:id="5"/>
      <w:bookmarkEnd w:id="6"/>
      <w:bookmarkEnd w:id="7"/>
      <w:bookmarkEnd w:id="8"/>
      <w:r>
        <w:rPr>
          <w:rFonts w:hint="eastAsia" w:ascii="仿宋_GB2312" w:hAnsi="仿宋_GB2312" w:eastAsia="仿宋_GB2312" w:cs="仿宋_GB2312"/>
          <w:color w:val="auto"/>
          <w:sz w:val="28"/>
          <w:szCs w:val="28"/>
        </w:rPr>
        <w:t>的预防、修复及监测：在矿山开采过程中，做到</w:t>
      </w:r>
      <w:r>
        <w:rPr>
          <w:rFonts w:hint="eastAsia" w:ascii="仿宋_GB2312" w:hAnsi="仿宋_GB2312" w:eastAsia="仿宋_GB2312" w:cs="仿宋_GB2312"/>
          <w:color w:val="auto"/>
          <w:sz w:val="28"/>
          <w:szCs w:val="28"/>
          <w:lang w:val="en-US" w:eastAsia="zh-CN"/>
        </w:rPr>
        <w:t>固体物质</w:t>
      </w:r>
      <w:r>
        <w:rPr>
          <w:rFonts w:hint="eastAsia" w:ascii="仿宋_GB2312" w:hAnsi="仿宋_GB2312" w:eastAsia="仿宋_GB2312" w:cs="仿宋_GB2312"/>
          <w:color w:val="auto"/>
          <w:sz w:val="28"/>
          <w:szCs w:val="28"/>
        </w:rPr>
        <w:t>不乱堆放，合理有序堆放在相应场地；在生活区</w:t>
      </w:r>
      <w:r>
        <w:rPr>
          <w:rFonts w:hint="eastAsia" w:ascii="仿宋_GB2312" w:hAnsi="仿宋_GB2312" w:eastAsia="仿宋_GB2312" w:cs="仿宋_GB2312"/>
          <w:color w:val="auto"/>
          <w:sz w:val="28"/>
          <w:szCs w:val="28"/>
          <w:lang w:val="en-US" w:eastAsia="zh-CN"/>
        </w:rPr>
        <w:t>配套</w:t>
      </w:r>
      <w:r>
        <w:rPr>
          <w:rFonts w:hint="eastAsia" w:ascii="仿宋_GB2312" w:hAnsi="仿宋_GB2312" w:eastAsia="仿宋_GB2312" w:cs="仿宋_GB2312"/>
          <w:color w:val="auto"/>
          <w:sz w:val="28"/>
          <w:szCs w:val="28"/>
        </w:rPr>
        <w:t>污水处理池及垃圾</w:t>
      </w:r>
      <w:r>
        <w:rPr>
          <w:rFonts w:hint="eastAsia" w:ascii="仿宋_GB2312" w:hAnsi="仿宋_GB2312" w:eastAsia="仿宋_GB2312" w:cs="仿宋_GB2312"/>
          <w:color w:val="auto"/>
          <w:sz w:val="28"/>
          <w:szCs w:val="28"/>
          <w:lang w:val="en-US" w:eastAsia="zh-CN"/>
        </w:rPr>
        <w:t>箱</w:t>
      </w:r>
      <w:r>
        <w:rPr>
          <w:rFonts w:hint="eastAsia" w:ascii="仿宋_GB2312" w:hAnsi="仿宋_GB2312" w:eastAsia="仿宋_GB2312" w:cs="仿宋_GB2312"/>
          <w:color w:val="auto"/>
          <w:sz w:val="28"/>
          <w:szCs w:val="28"/>
        </w:rPr>
        <w:t>，生活污水经处理达标后用于道路降尘；生活垃圾集中收集，定期拉运至</w:t>
      </w:r>
      <w:r>
        <w:rPr>
          <w:rFonts w:hint="eastAsia" w:ascii="仿宋_GB2312" w:hAnsi="仿宋_GB2312" w:eastAsia="仿宋_GB2312" w:cs="仿宋_GB2312"/>
          <w:color w:val="auto"/>
          <w:sz w:val="28"/>
          <w:szCs w:val="28"/>
          <w:lang w:val="en-US" w:eastAsia="zh-CN"/>
        </w:rPr>
        <w:t>七克台镇</w:t>
      </w:r>
      <w:r>
        <w:rPr>
          <w:rFonts w:hint="eastAsia" w:ascii="仿宋_GB2312" w:hAnsi="仿宋_GB2312" w:eastAsia="仿宋_GB2312" w:cs="仿宋_GB2312"/>
          <w:color w:val="auto"/>
          <w:sz w:val="28"/>
          <w:szCs w:val="28"/>
        </w:rPr>
        <w:t>垃圾填埋场填埋，避免对土地造成污染损毁。矿山开采对矿区水土环境污染影响程度轻，矿山未来仅采取监测和预防工程措施，不设计水土环境污染修复工程措施</w:t>
      </w:r>
      <w:r>
        <w:rPr>
          <w:rFonts w:hint="eastAsia" w:ascii="仿宋_GB2312" w:hAnsi="仿宋_GB2312" w:eastAsia="仿宋_GB2312" w:cs="仿宋_GB2312"/>
          <w:color w:val="auto"/>
          <w:sz w:val="28"/>
          <w:szCs w:val="28"/>
          <w:lang w:eastAsia="zh-CN"/>
        </w:rPr>
        <w:t>。</w:t>
      </w:r>
    </w:p>
    <w:p w14:paraId="7DE6A3F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为了解掌握矿山开采影响区内水环境质量状况和受污染程度，需要对区内的生活污水进行监测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kern w:val="0"/>
          <w:sz w:val="28"/>
          <w:szCs w:val="28"/>
          <w:lang w:bidi="ar"/>
        </w:rPr>
        <w:t>生活区污水处理池进行水环境情况监测</w:t>
      </w:r>
      <w:r>
        <w:rPr>
          <w:rFonts w:hint="eastAsia" w:ascii="仿宋_GB2312" w:hAnsi="仿宋_GB2312" w:eastAsia="仿宋_GB2312" w:cs="仿宋_GB2312"/>
          <w:color w:val="auto"/>
          <w:sz w:val="28"/>
          <w:szCs w:val="28"/>
        </w:rPr>
        <w:t>，布置</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个监测点，监测频率为每半年1次，1年2次，监测其水质是否达到排放标准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矿山开采至复垦结束</w:t>
      </w:r>
      <w:r>
        <w:rPr>
          <w:rFonts w:hint="eastAsia" w:ascii="仿宋_GB2312" w:hAnsi="仿宋_GB2312" w:eastAsia="仿宋_GB2312" w:cs="仿宋_GB2312"/>
          <w:color w:val="auto"/>
          <w:sz w:val="28"/>
          <w:szCs w:val="28"/>
          <w:lang w:val="en-US" w:eastAsia="zh-CN"/>
        </w:rPr>
        <w:t>11.98年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点次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rPr>
        <w:t>生活区、</w:t>
      </w:r>
      <w:r>
        <w:rPr>
          <w:rFonts w:hint="eastAsia" w:ascii="仿宋_GB2312" w:hAnsi="仿宋_GB2312" w:eastAsia="仿宋_GB2312" w:cs="仿宋_GB2312"/>
          <w:color w:val="auto"/>
          <w:kern w:val="0"/>
          <w:sz w:val="28"/>
          <w:szCs w:val="28"/>
          <w:lang w:val="en-US" w:eastAsia="zh-CN"/>
        </w:rPr>
        <w:t>废石场</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工业场地</w:t>
      </w:r>
      <w:r>
        <w:rPr>
          <w:rFonts w:hint="eastAsia" w:ascii="仿宋_GB2312" w:hAnsi="仿宋_GB2312" w:eastAsia="仿宋_GB2312" w:cs="仿宋_GB2312"/>
          <w:color w:val="auto"/>
          <w:sz w:val="28"/>
          <w:szCs w:val="28"/>
        </w:rPr>
        <w:t>周围土地会因矿山排放废水的影响而受到不同程度的污染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为了解掌握区内土壤环境质量状况和受污染程度，需要对区内的土壤环境进行监测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生活区和</w:t>
      </w:r>
      <w:r>
        <w:rPr>
          <w:rFonts w:hint="eastAsia" w:ascii="仿宋_GB2312" w:hAnsi="仿宋_GB2312" w:eastAsia="仿宋_GB2312" w:cs="仿宋_GB2312"/>
          <w:color w:val="auto"/>
          <w:sz w:val="28"/>
          <w:szCs w:val="28"/>
          <w:lang w:val="en-US" w:eastAsia="zh-CN"/>
        </w:rPr>
        <w:t>工业场地</w:t>
      </w:r>
      <w:r>
        <w:rPr>
          <w:rFonts w:hint="eastAsia" w:ascii="仿宋_GB2312" w:hAnsi="仿宋_GB2312" w:eastAsia="仿宋_GB2312" w:cs="仿宋_GB2312"/>
          <w:color w:val="auto"/>
          <w:sz w:val="28"/>
          <w:szCs w:val="28"/>
        </w:rPr>
        <w:t>各布置1个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由矿山企业专人或委托有资质的单位定时监测，每年取土壤测试样1次，矿山开采至复垦结束</w:t>
      </w:r>
      <w:r>
        <w:rPr>
          <w:rFonts w:hint="eastAsia" w:ascii="仿宋_GB2312" w:hAnsi="仿宋_GB2312" w:eastAsia="仿宋_GB2312" w:cs="仿宋_GB2312"/>
          <w:color w:val="auto"/>
          <w:sz w:val="28"/>
          <w:szCs w:val="28"/>
          <w:lang w:val="en-US" w:eastAsia="zh-CN"/>
        </w:rPr>
        <w:t>11.98年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点次。</w:t>
      </w:r>
    </w:p>
    <w:p w14:paraId="3F65074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（5）大气环境的预防、修复及监测：矿山开采对大气污染程度较轻，考虑矿山采矿结束后自然恢复，因此不进行大气污染修复工程设计。</w:t>
      </w:r>
    </w:p>
    <w:p w14:paraId="028CD24E">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矿山定期对露天采场、</w:t>
      </w:r>
      <w:r>
        <w:rPr>
          <w:rFonts w:hint="eastAsia" w:ascii="仿宋_GB2312" w:hAnsi="仿宋_GB2312" w:eastAsia="仿宋_GB2312" w:cs="仿宋_GB2312"/>
          <w:color w:val="auto"/>
          <w:kern w:val="0"/>
          <w:sz w:val="28"/>
          <w:szCs w:val="28"/>
          <w:lang w:val="en-US" w:eastAsia="zh-CN"/>
        </w:rPr>
        <w:t>废石及泥渣堆放场</w:t>
      </w:r>
      <w:r>
        <w:rPr>
          <w:rFonts w:hint="eastAsia" w:ascii="仿宋_GB2312" w:hAnsi="仿宋_GB2312" w:eastAsia="仿宋_GB2312" w:cs="仿宋_GB2312"/>
          <w:color w:val="auto"/>
          <w:sz w:val="28"/>
          <w:szCs w:val="28"/>
          <w:lang w:val="en-US" w:eastAsia="zh-CN"/>
        </w:rPr>
        <w:t>和矿山道路</w:t>
      </w:r>
      <w:r>
        <w:rPr>
          <w:rFonts w:hint="eastAsia" w:ascii="仿宋_GB2312" w:hAnsi="仿宋_GB2312" w:eastAsia="仿宋_GB2312" w:cs="仿宋_GB2312"/>
          <w:color w:val="auto"/>
          <w:sz w:val="28"/>
          <w:szCs w:val="28"/>
        </w:rPr>
        <w:t>采取洒水降尘措施，以减轻扬尘对大气的污染。严格落实环评报告提出的各项大气污染防护措施，加大环保力度，减轻大气污染，维持空气现状水平。对矿山可能产生扬尘的露天采场、</w:t>
      </w:r>
      <w:r>
        <w:rPr>
          <w:rFonts w:hint="eastAsia" w:ascii="仿宋_GB2312" w:hAnsi="仿宋_GB2312" w:eastAsia="仿宋_GB2312" w:cs="仿宋_GB2312"/>
          <w:color w:val="auto"/>
          <w:sz w:val="28"/>
          <w:szCs w:val="28"/>
          <w:lang w:val="en-US" w:eastAsia="zh-CN"/>
        </w:rPr>
        <w:t>废石及泥渣堆放场和矿山道路</w:t>
      </w:r>
      <w:r>
        <w:rPr>
          <w:rFonts w:hint="eastAsia" w:ascii="仿宋_GB2312" w:hAnsi="仿宋_GB2312" w:eastAsia="仿宋_GB2312" w:cs="仿宋_GB2312"/>
          <w:color w:val="auto"/>
          <w:sz w:val="28"/>
          <w:szCs w:val="28"/>
        </w:rPr>
        <w:t>进行监测。</w:t>
      </w:r>
      <w:r>
        <w:rPr>
          <w:rFonts w:hint="eastAsia" w:ascii="仿宋_GB2312" w:hAnsi="仿宋_GB2312" w:eastAsia="仿宋_GB2312" w:cs="仿宋_GB2312"/>
          <w:color w:val="auto"/>
          <w:sz w:val="28"/>
          <w:szCs w:val="28"/>
          <w:lang w:val="en-US" w:eastAsia="zh-CN"/>
        </w:rPr>
        <w:t>共设3个监测点，</w:t>
      </w:r>
      <w:r>
        <w:rPr>
          <w:rFonts w:hint="eastAsia" w:ascii="仿宋_GB2312" w:hAnsi="仿宋_GB2312" w:eastAsia="仿宋_GB2312" w:cs="仿宋_GB2312"/>
          <w:color w:val="auto"/>
          <w:sz w:val="28"/>
          <w:szCs w:val="28"/>
        </w:rPr>
        <w:t>每年取空气监测2次，矿山开采至复垦结束</w:t>
      </w:r>
      <w:r>
        <w:rPr>
          <w:rFonts w:hint="eastAsia" w:ascii="仿宋_GB2312" w:hAnsi="仿宋_GB2312" w:eastAsia="仿宋_GB2312" w:cs="仿宋_GB2312"/>
          <w:color w:val="auto"/>
          <w:sz w:val="28"/>
          <w:szCs w:val="28"/>
          <w:lang w:val="en-US" w:eastAsia="zh-CN"/>
        </w:rPr>
        <w:t>11.98年</w:t>
      </w:r>
      <w:r>
        <w:rPr>
          <w:rFonts w:hint="eastAsia" w:ascii="仿宋_GB2312" w:hAnsi="仿宋_GB2312" w:eastAsia="仿宋_GB2312" w:cs="仿宋_GB2312"/>
          <w:color w:val="auto"/>
          <w:sz w:val="28"/>
          <w:szCs w:val="28"/>
        </w:rPr>
        <w:t>内监测次数为</w:t>
      </w: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点次。</w:t>
      </w:r>
    </w:p>
    <w:p w14:paraId="64146ECD">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outlineLvl w:val="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八、矿区土地复垦</w:t>
      </w:r>
    </w:p>
    <w:p w14:paraId="41E05C3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1、矿区土地利用现状</w:t>
      </w:r>
    </w:p>
    <w:p w14:paraId="0FCF6AE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吐鲁番市</w:t>
      </w:r>
      <w:r>
        <w:rPr>
          <w:rFonts w:hint="eastAsia" w:ascii="仿宋_GB2312" w:hAnsi="仿宋_GB2312" w:eastAsia="仿宋_GB2312" w:cs="仿宋_GB2312"/>
          <w:color w:val="auto"/>
          <w:sz w:val="28"/>
          <w:szCs w:val="28"/>
          <w:lang w:val="en-US" w:eastAsia="zh-CN"/>
        </w:rPr>
        <w:t>高昌区</w:t>
      </w:r>
      <w:r>
        <w:rPr>
          <w:rFonts w:hint="eastAsia" w:ascii="仿宋_GB2312" w:hAnsi="仿宋_GB2312" w:eastAsia="仿宋_GB2312" w:cs="仿宋_GB2312"/>
          <w:color w:val="auto"/>
          <w:sz w:val="28"/>
          <w:szCs w:val="28"/>
          <w:lang w:eastAsia="zh-CN"/>
        </w:rPr>
        <w:t>自然资源局</w:t>
      </w:r>
      <w:r>
        <w:rPr>
          <w:rFonts w:hint="eastAsia" w:ascii="仿宋_GB2312" w:hAnsi="仿宋_GB2312" w:eastAsia="仿宋_GB2312" w:cs="仿宋_GB2312"/>
          <w:color w:val="auto"/>
          <w:sz w:val="28"/>
          <w:szCs w:val="28"/>
        </w:rPr>
        <w:t>出具的《</w:t>
      </w:r>
      <w:r>
        <w:rPr>
          <w:rFonts w:hint="eastAsia" w:ascii="仿宋_GB2312" w:hAnsi="仿宋_GB2312" w:eastAsia="仿宋_GB2312" w:cs="仿宋_GB2312"/>
          <w:color w:val="auto"/>
          <w:sz w:val="28"/>
          <w:szCs w:val="28"/>
          <w:lang w:eastAsia="zh-CN"/>
        </w:rPr>
        <w:t>关于新疆天行伟健建工集团有限公司新疆吐鲁番市葡萄沟北侧七号建筑用砂矿砂场土地属性的情况说明</w:t>
      </w:r>
      <w:r>
        <w:rPr>
          <w:rFonts w:hint="eastAsia" w:ascii="仿宋_GB2312" w:hAnsi="仿宋_GB2312" w:eastAsia="仿宋_GB2312" w:cs="仿宋_GB2312"/>
          <w:color w:val="auto"/>
          <w:sz w:val="28"/>
          <w:szCs w:val="28"/>
        </w:rPr>
        <w:t>》（资料来源于第三次全国土地调查数据库），结合《国土空间调查、规划、用途管制用地用海分类指南》（自然资办发〔202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234</w:t>
      </w:r>
      <w:r>
        <w:rPr>
          <w:rFonts w:hint="eastAsia" w:ascii="仿宋_GB2312" w:hAnsi="仿宋_GB2312" w:eastAsia="仿宋_GB2312" w:cs="仿宋_GB2312"/>
          <w:color w:val="auto"/>
          <w:sz w:val="28"/>
          <w:szCs w:val="28"/>
        </w:rPr>
        <w:t>号），矿区土地类型为</w:t>
      </w:r>
      <w:r>
        <w:rPr>
          <w:rFonts w:hint="eastAsia" w:ascii="仿宋_GB2312" w:hAnsi="仿宋_GB2312" w:eastAsia="仿宋_GB2312" w:cs="仿宋_GB2312"/>
          <w:color w:val="auto"/>
          <w:sz w:val="28"/>
          <w:szCs w:val="28"/>
          <w:lang w:val="en-US" w:eastAsia="zh-CN"/>
        </w:rPr>
        <w:t>其他土地类</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，面积</w:t>
      </w:r>
      <w:r>
        <w:rPr>
          <w:rFonts w:hint="eastAsia" w:ascii="仿宋_GB2312" w:hAnsi="仿宋_GB2312" w:eastAsia="仿宋_GB2312" w:cs="仿宋_GB2312"/>
          <w:color w:val="auto"/>
          <w:sz w:val="28"/>
          <w:szCs w:val="28"/>
          <w:lang w:val="en-US" w:eastAsia="zh-CN"/>
        </w:rPr>
        <w:t>19.32h</w:t>
      </w:r>
      <w:r>
        <w:rPr>
          <w:rFonts w:hint="eastAsia" w:ascii="仿宋_GB2312" w:hAnsi="仿宋_GB2312" w:eastAsia="仿宋_GB2312" w:cs="仿宋_GB2312"/>
          <w:color w:val="auto"/>
          <w:sz w:val="28"/>
          <w:szCs w:val="28"/>
          <w:lang w:val="en-US"/>
        </w:rPr>
        <w:t>m</w:t>
      </w:r>
      <w:r>
        <w:rPr>
          <w:rFonts w:hint="eastAsia" w:ascii="仿宋_GB2312" w:hAnsi="仿宋_GB2312" w:eastAsia="仿宋_GB2312" w:cs="仿宋_GB2312"/>
          <w:color w:val="auto"/>
          <w:sz w:val="28"/>
          <w:szCs w:val="28"/>
          <w:vertAlign w:val="superscript"/>
          <w:lang w:val="en-US"/>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土地权属为国有土地，行政隶属</w:t>
      </w:r>
      <w:r>
        <w:rPr>
          <w:rFonts w:hint="eastAsia" w:ascii="仿宋_GB2312" w:hAnsi="仿宋_GB2312" w:eastAsia="仿宋_GB2312" w:cs="仿宋_GB2312"/>
          <w:color w:val="auto"/>
          <w:sz w:val="28"/>
          <w:szCs w:val="28"/>
          <w:lang w:val="en-US" w:eastAsia="zh-CN"/>
        </w:rPr>
        <w:t>吐鲁番市高昌区</w:t>
      </w:r>
      <w:r>
        <w:rPr>
          <w:rFonts w:hint="eastAsia" w:ascii="仿宋_GB2312" w:hAnsi="仿宋_GB2312" w:eastAsia="仿宋_GB2312" w:cs="仿宋_GB2312"/>
          <w:color w:val="auto"/>
          <w:sz w:val="28"/>
          <w:szCs w:val="28"/>
        </w:rPr>
        <w:t>管辖。</w:t>
      </w:r>
    </w:p>
    <w:p w14:paraId="4B12393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2、土地复垦区与复垦责任范围</w:t>
      </w:r>
    </w:p>
    <w:p w14:paraId="1F04A11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本方案复垦区包括</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露天采矿场、</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工业场地、</w:t>
      </w:r>
      <w:r>
        <w:rPr>
          <w:rFonts w:hint="eastAsia" w:ascii="仿宋_GB2312" w:hAnsi="仿宋_GB2312" w:eastAsia="仿宋_GB2312" w:cs="仿宋_GB2312"/>
          <w:color w:val="auto"/>
          <w:sz w:val="28"/>
          <w:szCs w:val="28"/>
          <w:lang w:val="en-US" w:eastAsia="zh-CN"/>
        </w:rPr>
        <w:t>规划废石及泥渣堆放场、规划</w:t>
      </w:r>
      <w:r>
        <w:rPr>
          <w:rFonts w:hint="eastAsia" w:ascii="仿宋_GB2312" w:hAnsi="仿宋_GB2312" w:eastAsia="仿宋_GB2312" w:cs="仿宋_GB2312"/>
          <w:color w:val="auto"/>
          <w:sz w:val="28"/>
          <w:szCs w:val="28"/>
        </w:rPr>
        <w:t>矿山道路，面积</w:t>
      </w:r>
      <w:r>
        <w:rPr>
          <w:rFonts w:hint="eastAsia" w:ascii="仿宋_GB2312" w:hAnsi="仿宋_GB2312" w:eastAsia="仿宋_GB2312" w:cs="仿宋_GB2312"/>
          <w:color w:val="auto"/>
          <w:sz w:val="28"/>
          <w:szCs w:val="28"/>
          <w:lang w:val="en-US" w:eastAsia="zh-CN"/>
        </w:rPr>
        <w:t>19.32</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lang w:val="en-US" w:eastAsia="zh-CN"/>
        </w:rPr>
        <w:t>2</w:t>
      </w:r>
      <w:r>
        <w:rPr>
          <w:rFonts w:hint="eastAsia" w:ascii="仿宋_GB2312" w:hAnsi="仿宋_GB2312" w:eastAsia="仿宋_GB2312" w:cs="仿宋_GB2312"/>
          <w:color w:val="auto"/>
          <w:sz w:val="28"/>
          <w:szCs w:val="28"/>
        </w:rPr>
        <w:t>，土地复垦率100%。</w:t>
      </w:r>
    </w:p>
    <w:p w14:paraId="7684E194">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3、矿区土地适宜性评价</w:t>
      </w:r>
    </w:p>
    <w:p w14:paraId="5C9EE58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本方案复垦适宜性评价范围为复垦责任区，合计面积</w:t>
      </w:r>
      <w:r>
        <w:rPr>
          <w:rFonts w:hint="eastAsia" w:ascii="仿宋_GB2312" w:hAnsi="仿宋_GB2312" w:eastAsia="仿宋_GB2312" w:cs="仿宋_GB2312"/>
          <w:color w:val="auto"/>
          <w:sz w:val="28"/>
          <w:szCs w:val="28"/>
          <w:lang w:val="en-US" w:eastAsia="zh-CN"/>
        </w:rPr>
        <w:t>19.32</w:t>
      </w:r>
      <w:r>
        <w:rPr>
          <w:rFonts w:hint="eastAsia" w:ascii="仿宋_GB2312" w:hAnsi="仿宋_GB2312" w:eastAsia="仿宋_GB2312" w:cs="仿宋_GB2312"/>
          <w:color w:val="auto"/>
          <w:sz w:val="28"/>
          <w:szCs w:val="28"/>
        </w:rPr>
        <w:t>hm</w:t>
      </w:r>
      <w:r>
        <w:rPr>
          <w:rFonts w:hint="eastAsia" w:ascii="仿宋_GB2312" w:hAnsi="仿宋_GB2312" w:eastAsia="仿宋_GB2312" w:cs="仿宋_GB2312"/>
          <w:color w:val="auto"/>
          <w:sz w:val="28"/>
          <w:szCs w:val="28"/>
          <w:vertAlign w:val="superscript"/>
          <w:lang w:val="en-US" w:eastAsia="zh-CN"/>
        </w:rPr>
        <w:t>2</w:t>
      </w:r>
      <w:r>
        <w:rPr>
          <w:rFonts w:hint="eastAsia" w:ascii="仿宋_GB2312" w:hAnsi="仿宋_GB2312" w:eastAsia="仿宋_GB2312" w:cs="仿宋_GB2312"/>
          <w:color w:val="auto"/>
          <w:sz w:val="28"/>
          <w:szCs w:val="28"/>
        </w:rPr>
        <w:t>，包括规划露天采场、</w:t>
      </w:r>
      <w:r>
        <w:rPr>
          <w:rFonts w:hint="eastAsia" w:ascii="仿宋_GB2312" w:hAnsi="仿宋_GB2312" w:eastAsia="仿宋_GB2312" w:cs="仿宋_GB2312"/>
          <w:color w:val="auto"/>
          <w:sz w:val="28"/>
          <w:szCs w:val="28"/>
          <w:lang w:val="en-US" w:eastAsia="zh-CN"/>
        </w:rPr>
        <w:t>规划工业广场、规划废石及泥渣堆放场和规划矿山道路</w:t>
      </w:r>
      <w:r>
        <w:rPr>
          <w:rFonts w:hint="eastAsia" w:ascii="仿宋_GB2312" w:hAnsi="仿宋_GB2312" w:eastAsia="仿宋_GB2312" w:cs="仿宋_GB2312"/>
          <w:color w:val="auto"/>
          <w:sz w:val="28"/>
          <w:szCs w:val="28"/>
        </w:rPr>
        <w:t>，确定损毁土地的复垦方向以恢复原功能为主，即复垦为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w:t>
      </w:r>
    </w:p>
    <w:p w14:paraId="658B19C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4、矿区水土资源平衡分析</w:t>
      </w:r>
    </w:p>
    <w:p w14:paraId="31E0B4A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本项目土地复垦方向为</w:t>
      </w:r>
      <w:r>
        <w:rPr>
          <w:rFonts w:hint="eastAsia" w:ascii="仿宋_GB2312" w:hAnsi="仿宋_GB2312" w:eastAsia="仿宋_GB2312" w:cs="仿宋_GB2312"/>
          <w:color w:val="auto"/>
          <w:sz w:val="28"/>
          <w:szCs w:val="28"/>
          <w:lang w:val="en-US" w:eastAsia="zh-CN"/>
        </w:rPr>
        <w:t>裸岩石砾地</w:t>
      </w:r>
      <w:r>
        <w:rPr>
          <w:rFonts w:hint="eastAsia" w:ascii="仿宋_GB2312" w:hAnsi="仿宋_GB2312" w:eastAsia="仿宋_GB2312" w:cs="仿宋_GB2312"/>
          <w:color w:val="auto"/>
          <w:sz w:val="28"/>
          <w:szCs w:val="28"/>
        </w:rPr>
        <w:t>。</w:t>
      </w:r>
    </w:p>
    <w:p w14:paraId="5DF972B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（1）根据前述土地复垦方向分析结果，本项目土地复垦方向为</w:t>
      </w:r>
      <w:r>
        <w:rPr>
          <w:rFonts w:hint="eastAsia" w:ascii="仿宋_GB2312" w:hAnsi="仿宋_GB2312" w:eastAsia="仿宋_GB2312" w:cs="仿宋_GB2312"/>
          <w:color w:val="auto"/>
          <w:sz w:val="28"/>
          <w:szCs w:val="28"/>
          <w:lang w:eastAsia="zh-CN"/>
        </w:rPr>
        <w:t>裸岩石砾地</w:t>
      </w:r>
      <w:r>
        <w:rPr>
          <w:rFonts w:hint="eastAsia" w:ascii="仿宋_GB2312" w:hAnsi="仿宋_GB2312" w:eastAsia="仿宋_GB2312" w:cs="仿宋_GB2312"/>
          <w:color w:val="auto"/>
          <w:sz w:val="28"/>
          <w:szCs w:val="28"/>
        </w:rPr>
        <w:t>，不需要种植被，复垦过程中无灌溉浇水；矿区生活用水由</w:t>
      </w:r>
      <w:r>
        <w:rPr>
          <w:rFonts w:hint="eastAsia" w:ascii="仿宋_GB2312" w:hAnsi="仿宋_GB2312" w:eastAsia="仿宋_GB2312" w:cs="仿宋_GB2312"/>
          <w:color w:val="auto"/>
          <w:sz w:val="28"/>
          <w:szCs w:val="28"/>
          <w:lang w:val="en-US" w:eastAsia="zh-CN"/>
        </w:rPr>
        <w:t>葡萄社区</w:t>
      </w:r>
      <w:r>
        <w:rPr>
          <w:rFonts w:hint="eastAsia" w:ascii="仿宋_GB2312" w:hAnsi="仿宋_GB2312" w:eastAsia="仿宋_GB2312" w:cs="仿宋_GB2312"/>
          <w:color w:val="auto"/>
          <w:sz w:val="28"/>
          <w:szCs w:val="28"/>
        </w:rPr>
        <w:t>拉运，可满足矿山需求。</w:t>
      </w:r>
    </w:p>
    <w:p w14:paraId="452969E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（2）矿山土地复垦方向为</w:t>
      </w:r>
      <w:r>
        <w:rPr>
          <w:rFonts w:hint="eastAsia" w:ascii="仿宋_GB2312" w:hAnsi="仿宋_GB2312" w:eastAsia="仿宋_GB2312" w:cs="仿宋_GB2312"/>
          <w:color w:val="auto"/>
          <w:sz w:val="28"/>
          <w:szCs w:val="28"/>
          <w:lang w:eastAsia="zh-CN"/>
        </w:rPr>
        <w:t>裸岩石砾地</w:t>
      </w:r>
      <w:r>
        <w:rPr>
          <w:rFonts w:hint="eastAsia" w:ascii="仿宋_GB2312" w:hAnsi="仿宋_GB2312" w:eastAsia="仿宋_GB2312" w:cs="仿宋_GB2312"/>
          <w:color w:val="auto"/>
          <w:sz w:val="28"/>
          <w:szCs w:val="28"/>
        </w:rPr>
        <w:t>，不需要种植植被，复垦工程不涉及表层土剥覆工程。</w:t>
      </w:r>
    </w:p>
    <w:p w14:paraId="275C99D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矿山设计露天凹陷式开采，开采矿种为建筑用砂，经筛分后矿山服务期11.48年共计产生废石（松散方）13.64万m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lang w:val="en-US" w:eastAsia="zh-CN"/>
        </w:rPr>
        <w:t>、泥渣总量7.35万m</w:t>
      </w:r>
      <w:r>
        <w:rPr>
          <w:rFonts w:hint="eastAsia" w:ascii="仿宋_GB2312" w:hAnsi="仿宋_GB2312" w:eastAsia="仿宋_GB2312" w:cs="仿宋_GB2312"/>
          <w:color w:val="auto"/>
          <w:sz w:val="28"/>
          <w:szCs w:val="28"/>
          <w:vertAlign w:val="superscript"/>
          <w:lang w:val="en-US" w:eastAsia="zh-CN"/>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全部回填至</w:t>
      </w:r>
      <w:r>
        <w:rPr>
          <w:rFonts w:hint="eastAsia" w:ascii="仿宋_GB2312" w:hAnsi="仿宋_GB2312" w:eastAsia="仿宋_GB2312" w:cs="仿宋_GB2312"/>
          <w:color w:val="auto"/>
          <w:sz w:val="28"/>
          <w:szCs w:val="28"/>
          <w:lang w:val="en-US" w:eastAsia="zh-CN"/>
        </w:rPr>
        <w:t>规划</w:t>
      </w:r>
      <w:r>
        <w:rPr>
          <w:rFonts w:hint="eastAsia" w:ascii="仿宋_GB2312" w:hAnsi="仿宋_GB2312" w:eastAsia="仿宋_GB2312" w:cs="仿宋_GB2312"/>
          <w:color w:val="auto"/>
          <w:sz w:val="28"/>
          <w:szCs w:val="28"/>
        </w:rPr>
        <w:t>露天采场。</w:t>
      </w:r>
      <w:r>
        <w:rPr>
          <w:rFonts w:hint="eastAsia" w:ascii="仿宋_GB2312" w:hAnsi="仿宋_GB2312" w:eastAsia="仿宋_GB2312" w:cs="仿宋_GB2312"/>
          <w:color w:val="auto"/>
          <w:sz w:val="28"/>
          <w:szCs w:val="28"/>
          <w:lang w:val="en-US" w:eastAsia="zh-CN"/>
        </w:rPr>
        <w:t xml:space="preserve">        </w:t>
      </w:r>
    </w:p>
    <w:p w14:paraId="7C8A6C7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5、土地复垦工程措施</w:t>
      </w:r>
    </w:p>
    <w:p w14:paraId="437730E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bookmarkStart w:id="9" w:name="_Hlk92294388"/>
      <w:r>
        <w:rPr>
          <w:rFonts w:hint="eastAsia" w:ascii="仿宋_GB2312" w:hAnsi="仿宋_GB2312" w:eastAsia="仿宋_GB2312" w:cs="仿宋_GB2312"/>
          <w:color w:val="auto"/>
          <w:sz w:val="28"/>
          <w:szCs w:val="28"/>
        </w:rPr>
        <w:t>本方案划分</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个土地复垦单元，分别为</w:t>
      </w:r>
      <w:r>
        <w:rPr>
          <w:rFonts w:hint="eastAsia" w:ascii="仿宋_GB2312" w:hAnsi="仿宋_GB2312" w:eastAsia="仿宋_GB2312" w:cs="仿宋_GB2312"/>
          <w:color w:val="auto"/>
          <w:sz w:val="28"/>
          <w:szCs w:val="28"/>
          <w:lang w:val="en-US" w:eastAsia="zh-CN"/>
        </w:rPr>
        <w:t>规划露天采场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规划工业广场、规划废石及泥渣堆放场和规划矿山道路</w:t>
      </w:r>
      <w:r>
        <w:rPr>
          <w:rFonts w:hint="eastAsia" w:ascii="仿宋_GB2312" w:hAnsi="仿宋_GB2312" w:eastAsia="仿宋_GB2312" w:cs="仿宋_GB2312"/>
          <w:color w:val="auto"/>
          <w:sz w:val="28"/>
          <w:szCs w:val="28"/>
        </w:rPr>
        <w:t>。</w:t>
      </w:r>
    </w:p>
    <w:p w14:paraId="5C2EFD6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土地复垦措施主要包括</w:t>
      </w:r>
      <w:r>
        <w:rPr>
          <w:rFonts w:hint="eastAsia" w:ascii="仿宋_GB2312" w:hAnsi="仿宋_GB2312" w:eastAsia="仿宋_GB2312" w:cs="仿宋_GB2312"/>
          <w:color w:val="auto"/>
          <w:sz w:val="28"/>
          <w:szCs w:val="28"/>
          <w:lang w:val="en-US" w:eastAsia="zh-CN"/>
        </w:rPr>
        <w:t>规划露天采场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规划矿山道路</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规划废石及泥渣堆放场、规划工业广场区域</w:t>
      </w:r>
      <w:r>
        <w:rPr>
          <w:rFonts w:hint="eastAsia" w:ascii="仿宋_GB2312" w:hAnsi="仿宋_GB2312" w:eastAsia="仿宋_GB2312" w:cs="仿宋_GB2312"/>
          <w:color w:val="auto"/>
          <w:sz w:val="28"/>
          <w:szCs w:val="28"/>
        </w:rPr>
        <w:t>设施和硬化层拆除清运处置、平整工程等。</w:t>
      </w:r>
      <w:bookmarkEnd w:id="9"/>
    </w:p>
    <w:p w14:paraId="6C77B6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6、土地复垦监测</w:t>
      </w:r>
    </w:p>
    <w:p w14:paraId="6DA0D52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bookmarkStart w:id="10" w:name="_Hlk92295462"/>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个待复垦单元各设置</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个监测点，主要为土地损毁监测。监测成果由矿山企业自行管理，必须派专人长期存档、管理。</w:t>
      </w:r>
      <w:bookmarkEnd w:id="10"/>
    </w:p>
    <w:p w14:paraId="2A677DE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7、土地复垦实施年限</w:t>
      </w:r>
    </w:p>
    <w:p w14:paraId="7BA0152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矿山服务年限为</w:t>
      </w:r>
      <w:r>
        <w:rPr>
          <w:rFonts w:hint="eastAsia" w:ascii="仿宋_GB2312" w:hAnsi="仿宋_GB2312" w:eastAsia="仿宋_GB2312" w:cs="仿宋_GB2312"/>
          <w:color w:val="auto"/>
          <w:sz w:val="28"/>
          <w:szCs w:val="28"/>
          <w:lang w:val="en-US" w:eastAsia="zh-CN"/>
        </w:rPr>
        <w:t>11.48年</w:t>
      </w:r>
      <w:r>
        <w:rPr>
          <w:rFonts w:hint="eastAsia" w:ascii="仿宋_GB2312" w:hAnsi="仿宋_GB2312" w:eastAsia="仿宋_GB2312" w:cs="仿宋_GB2312"/>
          <w:color w:val="auto"/>
          <w:sz w:val="28"/>
          <w:szCs w:val="28"/>
        </w:rPr>
        <w:t>，计划开采时间为202</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月，土地复垦工作须在矿体闭坑后进行，计划施工期</w:t>
      </w:r>
      <w:r>
        <w:rPr>
          <w:rFonts w:hint="eastAsia" w:ascii="仿宋_GB2312" w:hAnsi="仿宋_GB2312" w:eastAsia="仿宋_GB2312" w:cs="仿宋_GB2312"/>
          <w:color w:val="auto"/>
          <w:sz w:val="28"/>
          <w:szCs w:val="28"/>
          <w:lang w:val="en-US" w:eastAsia="zh-CN"/>
        </w:rPr>
        <w:t>0.5</w:t>
      </w:r>
      <w:r>
        <w:rPr>
          <w:rFonts w:hint="eastAsia" w:ascii="仿宋_GB2312" w:hAnsi="仿宋_GB2312" w:eastAsia="仿宋_GB2312" w:cs="仿宋_GB2312"/>
          <w:color w:val="auto"/>
          <w:sz w:val="28"/>
          <w:szCs w:val="28"/>
        </w:rPr>
        <w:t>年，计划复垦时间为</w:t>
      </w:r>
      <w:r>
        <w:rPr>
          <w:rFonts w:hint="eastAsia" w:ascii="仿宋_GB2312" w:hAnsi="仿宋_GB2312" w:eastAsia="仿宋_GB2312" w:cs="仿宋_GB2312"/>
          <w:color w:val="auto"/>
          <w:sz w:val="28"/>
          <w:szCs w:val="28"/>
          <w:lang w:val="en-US" w:eastAsia="zh-CN"/>
        </w:rPr>
        <w:t>2037</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月。因此矿山从开采到闭坑后土地复垦工作结束共用时约</w:t>
      </w:r>
      <w:r>
        <w:rPr>
          <w:rFonts w:hint="eastAsia" w:ascii="仿宋_GB2312" w:hAnsi="仿宋_GB2312" w:eastAsia="仿宋_GB2312" w:cs="仿宋_GB2312"/>
          <w:color w:val="auto"/>
          <w:sz w:val="28"/>
          <w:szCs w:val="28"/>
          <w:lang w:val="en-US" w:eastAsia="zh-CN"/>
        </w:rPr>
        <w:t>11.98</w:t>
      </w:r>
      <w:r>
        <w:rPr>
          <w:rFonts w:hint="eastAsia" w:ascii="仿宋_GB2312" w:hAnsi="仿宋_GB2312" w:eastAsia="仿宋_GB2312" w:cs="仿宋_GB2312"/>
          <w:color w:val="auto"/>
          <w:sz w:val="28"/>
          <w:szCs w:val="28"/>
        </w:rPr>
        <w:t>年，即202</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p>
    <w:p w14:paraId="2C5B551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8、土地复垦阶段工作安排</w:t>
      </w:r>
    </w:p>
    <w:p w14:paraId="51EB71B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矿山生产期主要进行土地损毁监测，待矿山闭矿后立即全面开展土地复垦工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程。</w:t>
      </w:r>
      <w:bookmarkStart w:id="11" w:name="_Hlk8452109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按照轻重缓急、分阶段实施的原则，将矿山土地复垦工作划分为两个阶段，近期5年（2026年1—2030年12月）及远期6.98年（2031年1月—2037年12月）。</w:t>
      </w:r>
      <w:bookmarkEnd w:id="11"/>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2026年1—2030年12月主要进行土地损毁监测；2031年1月—2037年12月（土地复垦期）闭坑后规划露天采场边坡控制在30°以下，并进行土地平整，避免形成局部凸起或凹陷，有效控制水土流失，与周边地形地貌相协调；规划工业广场区建筑物拆除，废弃物拉运至七泉湖镇建筑垃圾填埋场填埋，并进行土地平整，避免形成局部凸起或凹陷，有效控制水土流失，与周边地形地貌相协调；对矿山道路表部进行削高填低平整，基本做到与周边地形地貌相协调。</w:t>
      </w:r>
    </w:p>
    <w:p w14:paraId="7CF42FB4">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九、技术经济指标</w:t>
      </w:r>
    </w:p>
    <w:p w14:paraId="4F4FC97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项目总投资</w:t>
      </w:r>
      <w:r>
        <w:rPr>
          <w:rFonts w:hint="eastAsia" w:ascii="仿宋_GB2312" w:hAnsi="仿宋_GB2312" w:eastAsia="仿宋_GB2312" w:cs="仿宋_GB2312"/>
          <w:color w:val="auto"/>
          <w:sz w:val="28"/>
          <w:szCs w:val="28"/>
          <w:lang w:val="en-US" w:eastAsia="zh-CN"/>
        </w:rPr>
        <w:t>537.70</w:t>
      </w:r>
      <w:r>
        <w:rPr>
          <w:rFonts w:hint="eastAsia" w:ascii="仿宋_GB2312" w:hAnsi="仿宋_GB2312" w:eastAsia="仿宋_GB2312" w:cs="仿宋_GB2312"/>
          <w:color w:val="auto"/>
          <w:sz w:val="28"/>
          <w:szCs w:val="28"/>
        </w:rPr>
        <w:t>万元，其中，建设投资</w:t>
      </w:r>
      <w:r>
        <w:rPr>
          <w:rFonts w:hint="eastAsia" w:ascii="仿宋_GB2312" w:hAnsi="仿宋_GB2312" w:eastAsia="仿宋_GB2312" w:cs="仿宋_GB2312"/>
          <w:color w:val="auto"/>
          <w:sz w:val="28"/>
          <w:szCs w:val="28"/>
          <w:lang w:val="en-US" w:eastAsia="zh-CN"/>
        </w:rPr>
        <w:t>488.82</w:t>
      </w:r>
      <w:r>
        <w:rPr>
          <w:rFonts w:hint="eastAsia" w:ascii="仿宋_GB2312" w:hAnsi="仿宋_GB2312" w:eastAsia="仿宋_GB2312" w:cs="仿宋_GB2312"/>
          <w:color w:val="auto"/>
          <w:sz w:val="28"/>
          <w:szCs w:val="28"/>
        </w:rPr>
        <w:t>万元，项目流动资金</w:t>
      </w:r>
      <w:r>
        <w:rPr>
          <w:rFonts w:hint="eastAsia" w:ascii="仿宋_GB2312" w:hAnsi="仿宋_GB2312" w:eastAsia="仿宋_GB2312" w:cs="仿宋_GB2312"/>
          <w:color w:val="auto"/>
          <w:sz w:val="28"/>
          <w:szCs w:val="28"/>
          <w:lang w:val="en-US" w:eastAsia="zh-CN"/>
        </w:rPr>
        <w:t>48.88</w:t>
      </w:r>
      <w:r>
        <w:rPr>
          <w:rFonts w:hint="eastAsia" w:ascii="仿宋_GB2312" w:hAnsi="仿宋_GB2312" w:eastAsia="仿宋_GB2312" w:cs="仿宋_GB2312"/>
          <w:color w:val="auto"/>
          <w:sz w:val="28"/>
          <w:szCs w:val="28"/>
        </w:rPr>
        <w:t>万元；项目建成投产后，平均年销售收入为</w:t>
      </w:r>
      <w:r>
        <w:rPr>
          <w:rFonts w:hint="eastAsia" w:ascii="仿宋_GB2312" w:hAnsi="仿宋_GB2312" w:eastAsia="仿宋_GB2312" w:cs="仿宋_GB2312"/>
          <w:color w:val="auto"/>
          <w:sz w:val="28"/>
          <w:szCs w:val="28"/>
          <w:lang w:val="en-US" w:eastAsia="zh-CN"/>
        </w:rPr>
        <w:t>585.72</w:t>
      </w:r>
      <w:r>
        <w:rPr>
          <w:rFonts w:hint="eastAsia" w:ascii="仿宋_GB2312" w:hAnsi="仿宋_GB2312" w:eastAsia="仿宋_GB2312" w:cs="仿宋_GB2312"/>
          <w:color w:val="auto"/>
          <w:sz w:val="28"/>
          <w:szCs w:val="28"/>
        </w:rPr>
        <w:t>万元，正常年利润总额为</w:t>
      </w:r>
      <w:r>
        <w:rPr>
          <w:rFonts w:hint="eastAsia" w:ascii="仿宋_GB2312" w:hAnsi="仿宋_GB2312" w:eastAsia="仿宋_GB2312" w:cs="仿宋_GB2312"/>
          <w:color w:val="auto"/>
          <w:sz w:val="28"/>
          <w:szCs w:val="28"/>
          <w:lang w:val="en-US" w:eastAsia="zh-CN"/>
        </w:rPr>
        <w:t>134.75</w:t>
      </w:r>
      <w:r>
        <w:rPr>
          <w:rFonts w:hint="eastAsia" w:ascii="仿宋_GB2312" w:hAnsi="仿宋_GB2312" w:eastAsia="仿宋_GB2312" w:cs="仿宋_GB2312"/>
          <w:color w:val="auto"/>
          <w:sz w:val="28"/>
          <w:szCs w:val="28"/>
        </w:rPr>
        <w:t>万元，年上缴所得税额为</w:t>
      </w:r>
      <w:r>
        <w:rPr>
          <w:rFonts w:hint="eastAsia" w:ascii="仿宋_GB2312" w:hAnsi="仿宋_GB2312" w:eastAsia="仿宋_GB2312" w:cs="仿宋_GB2312"/>
          <w:color w:val="auto"/>
          <w:sz w:val="28"/>
          <w:szCs w:val="28"/>
          <w:lang w:val="en-US" w:eastAsia="zh-CN"/>
        </w:rPr>
        <w:t>33.69</w:t>
      </w:r>
      <w:r>
        <w:rPr>
          <w:rFonts w:hint="eastAsia" w:ascii="仿宋_GB2312" w:hAnsi="仿宋_GB2312" w:eastAsia="仿宋_GB2312" w:cs="仿宋_GB2312"/>
          <w:color w:val="auto"/>
          <w:sz w:val="28"/>
          <w:szCs w:val="28"/>
        </w:rPr>
        <w:t>万元，税后利润为</w:t>
      </w:r>
      <w:r>
        <w:rPr>
          <w:rFonts w:hint="eastAsia" w:ascii="仿宋_GB2312" w:hAnsi="仿宋_GB2312" w:eastAsia="仿宋_GB2312" w:cs="仿宋_GB2312"/>
          <w:color w:val="auto"/>
          <w:sz w:val="28"/>
          <w:szCs w:val="28"/>
          <w:lang w:val="en-US" w:eastAsia="zh-CN"/>
        </w:rPr>
        <w:t>101.06</w:t>
      </w:r>
      <w:r>
        <w:rPr>
          <w:rFonts w:hint="eastAsia" w:ascii="仿宋_GB2312" w:hAnsi="仿宋_GB2312" w:eastAsia="仿宋_GB2312" w:cs="仿宋_GB2312"/>
          <w:color w:val="auto"/>
          <w:sz w:val="28"/>
          <w:szCs w:val="28"/>
        </w:rPr>
        <w:t>万元。总投资收益率为</w:t>
      </w:r>
      <w:r>
        <w:rPr>
          <w:rFonts w:hint="eastAsia" w:ascii="仿宋_GB2312" w:hAnsi="仿宋_GB2312" w:eastAsia="仿宋_GB2312" w:cs="仿宋_GB2312"/>
          <w:color w:val="auto"/>
          <w:sz w:val="28"/>
          <w:szCs w:val="28"/>
          <w:lang w:val="en-US" w:eastAsia="zh-CN"/>
        </w:rPr>
        <w:t>25.06</w:t>
      </w:r>
      <w:r>
        <w:rPr>
          <w:rFonts w:hint="eastAsia" w:ascii="仿宋_GB2312" w:hAnsi="仿宋_GB2312" w:eastAsia="仿宋_GB2312" w:cs="仿宋_GB2312"/>
          <w:color w:val="auto"/>
          <w:sz w:val="28"/>
          <w:szCs w:val="28"/>
        </w:rPr>
        <w:t>%，投资净利润率为</w:t>
      </w:r>
      <w:r>
        <w:rPr>
          <w:rFonts w:hint="eastAsia" w:ascii="仿宋_GB2312" w:hAnsi="仿宋_GB2312" w:eastAsia="仿宋_GB2312" w:cs="仿宋_GB2312"/>
          <w:color w:val="auto"/>
          <w:sz w:val="28"/>
          <w:szCs w:val="28"/>
          <w:lang w:val="en-US" w:eastAsia="zh-CN"/>
        </w:rPr>
        <w:t>18.79</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静态</w:t>
      </w:r>
      <w:r>
        <w:rPr>
          <w:rFonts w:hint="eastAsia" w:ascii="仿宋_GB2312" w:hAnsi="仿宋_GB2312" w:eastAsia="仿宋_GB2312" w:cs="仿宋_GB2312"/>
          <w:color w:val="auto"/>
          <w:sz w:val="28"/>
          <w:szCs w:val="28"/>
        </w:rPr>
        <w:t>投资回收期为</w:t>
      </w:r>
      <w:r>
        <w:rPr>
          <w:rFonts w:hint="eastAsia" w:ascii="仿宋_GB2312" w:hAnsi="仿宋_GB2312" w:eastAsia="仿宋_GB2312" w:cs="仿宋_GB2312"/>
          <w:color w:val="auto"/>
          <w:sz w:val="28"/>
          <w:szCs w:val="28"/>
          <w:lang w:val="en-US" w:eastAsia="zh-CN"/>
        </w:rPr>
        <w:t>5.32年</w:t>
      </w:r>
      <w:r>
        <w:rPr>
          <w:rFonts w:hint="eastAsia" w:ascii="仿宋_GB2312" w:hAnsi="仿宋_GB2312" w:eastAsia="仿宋_GB2312" w:cs="仿宋_GB2312"/>
          <w:color w:val="auto"/>
          <w:sz w:val="28"/>
          <w:szCs w:val="28"/>
        </w:rPr>
        <w:t>。</w:t>
      </w:r>
    </w:p>
    <w:p w14:paraId="2E9CE3D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rPr>
        <w:t>本矿山地质环境保护与土地复垦工程静态总投资</w:t>
      </w:r>
      <w:r>
        <w:rPr>
          <w:rFonts w:hint="eastAsia" w:ascii="仿宋_GB2312" w:hAnsi="仿宋_GB2312" w:eastAsia="仿宋_GB2312" w:cs="仿宋_GB2312"/>
          <w:color w:val="auto"/>
          <w:sz w:val="28"/>
          <w:szCs w:val="28"/>
          <w:lang w:val="en-US" w:eastAsia="zh-CN"/>
        </w:rPr>
        <w:t>236.13万元</w:t>
      </w:r>
      <w:r>
        <w:rPr>
          <w:rFonts w:hint="eastAsia" w:ascii="仿宋_GB2312" w:hAnsi="仿宋_GB2312" w:eastAsia="仿宋_GB2312" w:cs="仿宋_GB2312"/>
          <w:color w:val="auto"/>
          <w:sz w:val="28"/>
          <w:szCs w:val="28"/>
        </w:rPr>
        <w:t>，动态总投资</w:t>
      </w:r>
      <w:r>
        <w:rPr>
          <w:rFonts w:hint="eastAsia" w:ascii="仿宋_GB2312" w:hAnsi="仿宋_GB2312" w:eastAsia="仿宋_GB2312" w:cs="仿宋_GB2312"/>
          <w:color w:val="auto"/>
          <w:sz w:val="28"/>
          <w:szCs w:val="28"/>
          <w:lang w:val="en-US" w:eastAsia="zh-CN"/>
        </w:rPr>
        <w:t>274.75万元</w:t>
      </w:r>
      <w:r>
        <w:rPr>
          <w:rFonts w:hint="eastAsia" w:ascii="仿宋_GB2312" w:hAnsi="仿宋_GB2312" w:eastAsia="仿宋_GB2312" w:cs="仿宋_GB2312"/>
          <w:color w:val="auto"/>
          <w:sz w:val="28"/>
          <w:szCs w:val="28"/>
        </w:rPr>
        <w:t>。其中矿山地质环境保护和治理工程静态总投资估算费用约</w:t>
      </w:r>
      <w:r>
        <w:rPr>
          <w:rFonts w:hint="eastAsia" w:ascii="仿宋_GB2312" w:hAnsi="仿宋_GB2312" w:eastAsia="仿宋_GB2312" w:cs="仿宋_GB2312"/>
          <w:color w:val="auto"/>
          <w:sz w:val="28"/>
          <w:szCs w:val="28"/>
          <w:lang w:val="en-US" w:eastAsia="zh-CN"/>
        </w:rPr>
        <w:t>38.28万元</w:t>
      </w:r>
      <w:r>
        <w:rPr>
          <w:rFonts w:hint="eastAsia" w:ascii="仿宋_GB2312" w:hAnsi="仿宋_GB2312" w:eastAsia="仿宋_GB2312" w:cs="仿宋_GB2312"/>
          <w:color w:val="auto"/>
          <w:sz w:val="28"/>
          <w:szCs w:val="28"/>
        </w:rPr>
        <w:t>，动态投资</w:t>
      </w:r>
      <w:r>
        <w:rPr>
          <w:rFonts w:hint="eastAsia" w:ascii="仿宋_GB2312" w:hAnsi="仿宋_GB2312" w:eastAsia="仿宋_GB2312" w:cs="仿宋_GB2312"/>
          <w:color w:val="auto"/>
          <w:sz w:val="28"/>
          <w:szCs w:val="28"/>
          <w:lang w:val="en-US" w:eastAsia="zh-CN"/>
        </w:rPr>
        <w:t>41.32万元</w:t>
      </w:r>
      <w:r>
        <w:rPr>
          <w:rFonts w:hint="eastAsia" w:ascii="仿宋_GB2312" w:hAnsi="仿宋_GB2312" w:eastAsia="仿宋_GB2312" w:cs="仿宋_GB2312"/>
          <w:color w:val="auto"/>
          <w:sz w:val="28"/>
          <w:szCs w:val="28"/>
        </w:rPr>
        <w:t>；土地复垦工程静态总投资为</w:t>
      </w:r>
      <w:r>
        <w:rPr>
          <w:rFonts w:hint="eastAsia" w:ascii="仿宋_GB2312" w:hAnsi="仿宋_GB2312" w:eastAsia="仿宋_GB2312" w:cs="仿宋_GB2312"/>
          <w:color w:val="auto"/>
          <w:sz w:val="28"/>
          <w:szCs w:val="28"/>
          <w:lang w:val="en-US" w:eastAsia="zh-CN"/>
        </w:rPr>
        <w:t>197.86万元</w:t>
      </w:r>
      <w:r>
        <w:rPr>
          <w:rFonts w:hint="eastAsia" w:ascii="仿宋_GB2312" w:hAnsi="仿宋_GB2312" w:eastAsia="仿宋_GB2312" w:cs="仿宋_GB2312"/>
          <w:color w:val="auto"/>
          <w:sz w:val="28"/>
          <w:szCs w:val="28"/>
        </w:rPr>
        <w:t>，动态投资</w:t>
      </w:r>
      <w:r>
        <w:rPr>
          <w:rFonts w:hint="eastAsia" w:ascii="仿宋_GB2312" w:hAnsi="仿宋_GB2312" w:eastAsia="仿宋_GB2312" w:cs="仿宋_GB2312"/>
          <w:color w:val="auto"/>
          <w:sz w:val="28"/>
          <w:szCs w:val="28"/>
          <w:lang w:val="en-US" w:eastAsia="zh-CN"/>
        </w:rPr>
        <w:t>233.42</w:t>
      </w:r>
      <w:r>
        <w:rPr>
          <w:rFonts w:hint="eastAsia" w:ascii="仿宋_GB2312" w:hAnsi="仿宋_GB2312" w:eastAsia="仿宋_GB2312" w:cs="仿宋_GB2312"/>
          <w:color w:val="auto"/>
          <w:sz w:val="28"/>
          <w:szCs w:val="28"/>
        </w:rPr>
        <w:t>万元。</w:t>
      </w:r>
    </w:p>
    <w:p w14:paraId="089A7940">
      <w:pPr>
        <w:keepNext w:val="0"/>
        <w:keepLines w:val="0"/>
        <w:pageBreakBefore w:val="0"/>
        <w:widowControl w:val="0"/>
        <w:wordWrap/>
        <w:overflowPunct/>
        <w:topLinePunct w:val="0"/>
        <w:autoSpaceDE w:val="0"/>
        <w:autoSpaceDN w:val="0"/>
        <w:bidi w:val="0"/>
        <w:adjustRightInd w:val="0"/>
        <w:snapToGrid w:val="0"/>
        <w:spacing w:line="560" w:lineRule="exact"/>
        <w:ind w:firstLine="560" w:firstLineChars="200"/>
        <w:outlineLvl w:val="0"/>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十、存在的问题及建议</w:t>
      </w:r>
    </w:p>
    <w:p w14:paraId="4DE715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（一）开发利用方案存在问题和建议</w:t>
      </w:r>
    </w:p>
    <w:p w14:paraId="18F4D44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矿区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开采</w:t>
      </w:r>
      <w:r>
        <w:rPr>
          <w:rFonts w:hint="eastAsia" w:ascii="仿宋_GB2312" w:hAnsi="仿宋_GB2312" w:eastAsia="仿宋_GB2312" w:cs="仿宋_GB2312"/>
          <w:color w:val="000000" w:themeColor="text1"/>
          <w:sz w:val="28"/>
          <w:szCs w:val="28"/>
          <w14:textFill>
            <w14:solidFill>
              <w14:schemeClr w14:val="tx1"/>
            </w14:solidFill>
          </w14:textFill>
        </w:rPr>
        <w:t>中必须严格按照设计执行，确保安全，对矿区安全隐患进行排查，防止地质灾害发生。</w:t>
      </w:r>
    </w:p>
    <w:p w14:paraId="19D162C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（二）地质环境治理和土地复垦存在问题和建议</w:t>
      </w:r>
    </w:p>
    <w:p w14:paraId="3FC4276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本《方案》是实施矿山地质环境保护、治理和监测及土地复垦的技术依据之一，不代替相关工程勘察、治理设计。建议</w:t>
      </w:r>
      <w:r>
        <w:rPr>
          <w:rFonts w:hint="eastAsia" w:ascii="仿宋_GB2312" w:hAnsi="仿宋_GB2312" w:eastAsia="仿宋_GB2312" w:cs="仿宋_GB2312"/>
          <w:color w:val="000000" w:themeColor="text1"/>
          <w:sz w:val="28"/>
          <w:szCs w:val="28"/>
          <w:lang w:eastAsia="zh-CN"/>
          <w14:textFill>
            <w14:solidFill>
              <w14:schemeClr w14:val="tx1"/>
            </w14:solidFill>
          </w14:textFill>
        </w:rPr>
        <w:t>新疆天行伟健建工集团有限公司</w:t>
      </w:r>
      <w:r>
        <w:rPr>
          <w:rFonts w:hint="eastAsia" w:ascii="仿宋_GB2312" w:hAnsi="仿宋_GB2312" w:eastAsia="仿宋_GB2312" w:cs="仿宋_GB2312"/>
          <w:color w:val="000000" w:themeColor="text1"/>
          <w:sz w:val="28"/>
          <w:szCs w:val="28"/>
          <w14:textFill>
            <w14:solidFill>
              <w14:schemeClr w14:val="tx1"/>
            </w14:solidFill>
          </w14:textFill>
        </w:rPr>
        <w:t>在进行工程治理时，委托相关单位对本矿山地质环境进行专项</w:t>
      </w:r>
      <w:r>
        <w:rPr>
          <w:rFonts w:hint="eastAsia" w:ascii="仿宋_GB2312" w:hAnsi="仿宋_GB2312" w:eastAsia="仿宋_GB2312" w:cs="仿宋_GB2312"/>
          <w:color w:val="000000" w:themeColor="text1"/>
          <w:sz w:val="28"/>
          <w:szCs w:val="28"/>
          <w:lang w:eastAsia="zh-CN"/>
          <w14:textFill>
            <w14:solidFill>
              <w14:schemeClr w14:val="tx1"/>
            </w14:solidFill>
          </w14:textFill>
        </w:rPr>
        <w:t>工程勘察</w:t>
      </w:r>
      <w:r>
        <w:rPr>
          <w:rFonts w:hint="eastAsia" w:ascii="仿宋_GB2312" w:hAnsi="仿宋_GB2312" w:eastAsia="仿宋_GB2312" w:cs="仿宋_GB2312"/>
          <w:color w:val="000000" w:themeColor="text1"/>
          <w:sz w:val="28"/>
          <w:szCs w:val="28"/>
          <w14:textFill>
            <w14:solidFill>
              <w14:schemeClr w14:val="tx1"/>
            </w14:solidFill>
          </w14:textFill>
        </w:rPr>
        <w:t>、设计。</w:t>
      </w:r>
    </w:p>
    <w:p w14:paraId="22E7CF5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在矿山开采过程中，严格按照相关规范要求，尽量减少废污水的产生，对已经产生的污水必须采取对地质环境影响最小的措施进行妥善处理，达到污水处理的相关要求。</w:t>
      </w:r>
    </w:p>
    <w:p w14:paraId="422AFDC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矿山建设、开采过程中，尽量减少对土地资源的</w:t>
      </w:r>
      <w:r>
        <w:rPr>
          <w:rFonts w:hint="eastAsia" w:ascii="仿宋_GB2312" w:hAnsi="仿宋_GB2312" w:eastAsia="仿宋_GB2312" w:cs="仿宋_GB2312"/>
          <w:color w:val="000000" w:themeColor="text1"/>
          <w:sz w:val="28"/>
          <w:szCs w:val="28"/>
          <w:lang w:eastAsia="zh-CN"/>
          <w14:textFill>
            <w14:solidFill>
              <w14:schemeClr w14:val="tx1"/>
            </w14:solidFill>
          </w14:textFill>
        </w:rPr>
        <w:t>破坏</w:t>
      </w:r>
      <w:r>
        <w:rPr>
          <w:rFonts w:hint="eastAsia" w:ascii="仿宋_GB2312" w:hAnsi="仿宋_GB2312" w:eastAsia="仿宋_GB2312" w:cs="仿宋_GB2312"/>
          <w:color w:val="000000" w:themeColor="text1"/>
          <w:sz w:val="28"/>
          <w:szCs w:val="28"/>
          <w14:textFill>
            <w14:solidFill>
              <w14:schemeClr w14:val="tx1"/>
            </w14:solidFill>
          </w14:textFill>
        </w:rPr>
        <w:t>，及时恢复损毁用地的土地功能。</w:t>
      </w:r>
    </w:p>
    <w:p w14:paraId="7FD40E8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矿山工作人员在日常巡视过程中，对铁丝网围栏、警示牌等进行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检查</w:t>
      </w:r>
      <w:r>
        <w:rPr>
          <w:rFonts w:hint="eastAsia" w:ascii="仿宋_GB2312" w:hAnsi="仿宋_GB2312" w:eastAsia="仿宋_GB2312" w:cs="仿宋_GB2312"/>
          <w:color w:val="000000" w:themeColor="text1"/>
          <w:sz w:val="28"/>
          <w:szCs w:val="28"/>
          <w14:textFill>
            <w14:solidFill>
              <w14:schemeClr w14:val="tx1"/>
            </w14:solidFill>
          </w14:textFill>
        </w:rPr>
        <w:t>，损坏及时进行修补及更换。按方案设计对地质灾害、含水层、地形地貌、水土环境污染及大气污染进行监测，发现问题及时上报并处理。</w:t>
      </w:r>
    </w:p>
    <w:p w14:paraId="2680527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方案设计工程量及投资仅为初步估算，具体实施时应请有资质单位按各项相关工程的设计规定进行设计、施工，并验收合格后投入使用。考虑到未来情况的多变性、物价涨幅等情况，对于方案远期设计投资估算仅供参考。</w:t>
      </w:r>
    </w:p>
    <w:p w14:paraId="3AA88F0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附件：《新疆天行伟健建工集团有限公司新疆吐鲁番市葡萄沟北侧七号建筑用砂矿矿产资源开发利用与生态保护修复方案》评审专家组名单</w:t>
      </w:r>
    </w:p>
    <w:p w14:paraId="14F3270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4E5EF427">
      <w:pPr>
        <w:keepNext w:val="0"/>
        <w:keepLines w:val="0"/>
        <w:pageBreakBefore w:val="0"/>
        <w:widowControl w:val="0"/>
        <w:wordWrap/>
        <w:topLinePunct w:val="0"/>
        <w:autoSpaceDE w:val="0"/>
        <w:autoSpaceDN w:val="0"/>
        <w:bidi w:val="0"/>
        <w:adjustRightInd w:val="0"/>
        <w:snapToGrid w:val="0"/>
        <w:spacing w:line="560" w:lineRule="exact"/>
        <w:ind w:firstLine="3500" w:firstLineChars="1250"/>
        <w:rPr>
          <w:rFonts w:ascii="宋体" w:hAnsi="宋体" w:eastAsia="宋体" w:cs="宋体"/>
          <w:color w:val="000000" w:themeColor="text1"/>
          <w:szCs w:val="28"/>
          <w14:textFill>
            <w14:solidFill>
              <w14:schemeClr w14:val="tx1"/>
            </w14:solidFill>
          </w14:textFill>
        </w:rPr>
        <w:sectPr>
          <w:footerReference r:id="rId12" w:type="default"/>
          <w:pgSz w:w="11907" w:h="16839"/>
          <w:pgMar w:top="1421" w:right="1414" w:bottom="1341" w:left="1428" w:header="0" w:footer="1147" w:gutter="0"/>
          <w:cols w:space="720" w:num="1"/>
        </w:sectPr>
      </w:pPr>
    </w:p>
    <w:p w14:paraId="2A9E925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附件：</w:t>
      </w:r>
    </w:p>
    <w:p w14:paraId="637C28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《新疆天行伟健建工集团有限公司新疆吐鲁番市葡萄沟北侧七号建筑用砂矿矿产资源开发利用与生态保护修复方案》评审专家组成员名单</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710"/>
      </w:tblGrid>
      <w:tr w14:paraId="1A1F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6E48950E">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姓  名</w:t>
            </w:r>
          </w:p>
        </w:tc>
        <w:tc>
          <w:tcPr>
            <w:tcW w:w="2126" w:type="dxa"/>
            <w:vAlign w:val="center"/>
          </w:tcPr>
          <w:p w14:paraId="2326D056">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专家组成员</w:t>
            </w:r>
          </w:p>
        </w:tc>
        <w:tc>
          <w:tcPr>
            <w:tcW w:w="2126" w:type="dxa"/>
            <w:vAlign w:val="center"/>
          </w:tcPr>
          <w:p w14:paraId="0251E4F8">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  业</w:t>
            </w:r>
          </w:p>
        </w:tc>
        <w:tc>
          <w:tcPr>
            <w:tcW w:w="2710" w:type="dxa"/>
            <w:vAlign w:val="center"/>
          </w:tcPr>
          <w:p w14:paraId="4519B19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技术职称</w:t>
            </w:r>
          </w:p>
        </w:tc>
      </w:tr>
      <w:tr w14:paraId="5C58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74DD53E0">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罗爱民</w:t>
            </w:r>
          </w:p>
        </w:tc>
        <w:tc>
          <w:tcPr>
            <w:tcW w:w="2126" w:type="dxa"/>
            <w:vAlign w:val="center"/>
          </w:tcPr>
          <w:p w14:paraId="6EF1A008">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主审专家</w:t>
            </w:r>
          </w:p>
        </w:tc>
        <w:tc>
          <w:tcPr>
            <w:tcW w:w="2126" w:type="dxa"/>
            <w:vAlign w:val="center"/>
          </w:tcPr>
          <w:p w14:paraId="5A78B8BA">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采矿工程</w:t>
            </w:r>
          </w:p>
        </w:tc>
        <w:tc>
          <w:tcPr>
            <w:tcW w:w="2710" w:type="dxa"/>
            <w:vAlign w:val="center"/>
          </w:tcPr>
          <w:p w14:paraId="380F6FE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高级工程师</w:t>
            </w:r>
          </w:p>
        </w:tc>
      </w:tr>
      <w:tr w14:paraId="5E02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06A08DFD">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lang w:val="zh-CN" w:eastAsia="zh-CN"/>
                <w14:textFill>
                  <w14:solidFill>
                    <w14:schemeClr w14:val="tx1"/>
                  </w14:solidFill>
                </w14:textFill>
              </w:rPr>
              <w:t>王惠江</w:t>
            </w:r>
          </w:p>
        </w:tc>
        <w:tc>
          <w:tcPr>
            <w:tcW w:w="2126" w:type="dxa"/>
            <w:vAlign w:val="center"/>
          </w:tcPr>
          <w:p w14:paraId="46BABADD">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评审专家</w:t>
            </w:r>
          </w:p>
        </w:tc>
        <w:tc>
          <w:tcPr>
            <w:tcW w:w="2126" w:type="dxa"/>
            <w:vAlign w:val="center"/>
          </w:tcPr>
          <w:p w14:paraId="66B230D9">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地质矿产</w:t>
            </w:r>
          </w:p>
        </w:tc>
        <w:tc>
          <w:tcPr>
            <w:tcW w:w="2710" w:type="dxa"/>
            <w:vAlign w:val="center"/>
          </w:tcPr>
          <w:p w14:paraId="043B5A95">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kern w:val="2"/>
                <w:sz w:val="24"/>
                <w:szCs w:val="24"/>
                <w:lang w:val="en-US"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高级工程师</w:t>
            </w:r>
          </w:p>
        </w:tc>
      </w:tr>
      <w:tr w14:paraId="5F4E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696F3FE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黄铁栋</w:t>
            </w:r>
          </w:p>
        </w:tc>
        <w:tc>
          <w:tcPr>
            <w:tcW w:w="2126" w:type="dxa"/>
            <w:vAlign w:val="center"/>
          </w:tcPr>
          <w:p w14:paraId="6AE36CC4">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评审专家</w:t>
            </w:r>
          </w:p>
        </w:tc>
        <w:tc>
          <w:tcPr>
            <w:tcW w:w="2126" w:type="dxa"/>
            <w:vAlign w:val="center"/>
          </w:tcPr>
          <w:p w14:paraId="08F83442">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lang w:eastAsia="zh-CN"/>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水工环</w:t>
            </w:r>
          </w:p>
        </w:tc>
        <w:tc>
          <w:tcPr>
            <w:tcW w:w="2710" w:type="dxa"/>
            <w:vAlign w:val="center"/>
          </w:tcPr>
          <w:p w14:paraId="255B17E0">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高级工程师</w:t>
            </w:r>
          </w:p>
        </w:tc>
      </w:tr>
    </w:tbl>
    <w:p w14:paraId="50D589A9">
      <w:pPr>
        <w:ind w:firstLine="560"/>
        <w:rPr>
          <w:rFonts w:ascii="宋体" w:hAnsi="宋体" w:eastAsia="宋体" w:cs="宋体"/>
          <w:color w:val="000000" w:themeColor="text1"/>
          <w:szCs w:val="28"/>
          <w14:textFill>
            <w14:solidFill>
              <w14:schemeClr w14:val="tx1"/>
            </w14:solidFill>
          </w14:textFill>
        </w:rPr>
      </w:pPr>
    </w:p>
    <w:sectPr>
      <w:pgSz w:w="11907" w:h="16839"/>
      <w:pgMar w:top="1421" w:right="1414" w:bottom="1341" w:left="1428" w:header="0" w:footer="11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FF993E-3C9A-42F8-8EB9-EA467E458A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embedRegular r:id="rId2" w:fontKey="{DDFAB3FE-2D02-4754-8803-33D50150045B}"/>
  </w:font>
  <w:font w:name="仿宋_GB2312">
    <w:panose1 w:val="02010609030101010101"/>
    <w:charset w:val="86"/>
    <w:family w:val="modern"/>
    <w:pitch w:val="default"/>
    <w:sig w:usb0="00000001" w:usb1="080E0000" w:usb2="00000000" w:usb3="00000000" w:csb0="00040000" w:csb1="00000000"/>
    <w:embedRegular r:id="rId3" w:fontKey="{B5740DF5-9EEC-4CEC-A11F-F634D938E7AC}"/>
  </w:font>
  <w:font w:name="楷体">
    <w:panose1 w:val="02010609060101010101"/>
    <w:charset w:val="86"/>
    <w:family w:val="auto"/>
    <w:pitch w:val="default"/>
    <w:sig w:usb0="800002BF" w:usb1="38CF7CFA" w:usb2="00000016" w:usb3="00000000" w:csb0="00040001" w:csb1="00000000"/>
    <w:embedRegular r:id="rId4" w:fontKey="{1C4006B9-AE16-4AB5-BE39-BA99F84128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3CDC">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82B4B3">
                          <w:pPr>
                            <w:pStyle w:val="12"/>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ZM6rsBAACgAwAADgAAAAAAAAABACAAAAAeAQAAZHJzL2Uyb0RvYy54bWxQSwUGAAAAAAYA&#10;BgBZAQAASwUAAAAA&#10;">
              <v:fill on="f" focussize="0,0"/>
              <v:stroke on="f"/>
              <v:imagedata o:title=""/>
              <o:lock v:ext="edit" aspectratio="f"/>
              <v:textbox inset="0mm,0mm,0mm,0mm" style="mso-fit-shape-to-text:t;">
                <w:txbxContent>
                  <w:p w14:paraId="6A82B4B3">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DACB">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12CB">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116A">
    <w:pPr>
      <w:pStyle w:val="12"/>
      <w:ind w:firstLine="360"/>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7F2A44">
                          <w:pPr>
                            <w:pStyle w:val="12"/>
                            <w:ind w:firstLine="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f3UIy8AQAAoAMAAA4AAAAAAAAAAQAgAAAAHgEAAGRycy9lMm9Eb2MueG1sUEsFBgAAAAAG&#10;AAYAWQEAAEwFAAAAAA==&#10;">
              <v:fill on="f" focussize="0,0"/>
              <v:stroke on="f"/>
              <v:imagedata o:title=""/>
              <o:lock v:ext="edit" aspectratio="f"/>
              <v:textbox inset="0mm,0mm,0mm,0mm" style="mso-fit-shape-to-text:t;">
                <w:txbxContent>
                  <w:p w14:paraId="097F2A44">
                    <w:pPr>
                      <w:pStyle w:val="12"/>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9532">
    <w:pPr>
      <w:pStyle w:val="12"/>
      <w:ind w:firstLine="360"/>
      <w:jc w:val="center"/>
    </w:pPr>
    <w:r>
      <w:fldChar w:fldCharType="begin"/>
    </w:r>
    <w:r>
      <w:instrText xml:space="preserve">PAGE   \* MERGEFORMAT</w:instrText>
    </w:r>
    <w:r>
      <w:fldChar w:fldCharType="separate"/>
    </w:r>
    <w:r>
      <w:rPr>
        <w:lang w:val="zh-CN"/>
      </w:rPr>
      <w:t>17</w:t>
    </w:r>
    <w:r>
      <w:fldChar w:fldCharType="end"/>
    </w:r>
  </w:p>
  <w:p w14:paraId="5FEFCE7D">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28DE">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9315">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37C3">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 w:name="KSO_WPS_MARK_KEY" w:val="90f9029d-1686-4b0b-add7-2e4a43452d34"/>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1282E62"/>
    <w:rsid w:val="01453A14"/>
    <w:rsid w:val="015A3576"/>
    <w:rsid w:val="015B6D94"/>
    <w:rsid w:val="01787946"/>
    <w:rsid w:val="019A4749"/>
    <w:rsid w:val="01A249C3"/>
    <w:rsid w:val="01D152A8"/>
    <w:rsid w:val="01E7687A"/>
    <w:rsid w:val="020A35B3"/>
    <w:rsid w:val="020E2058"/>
    <w:rsid w:val="021D229B"/>
    <w:rsid w:val="022215DD"/>
    <w:rsid w:val="02443CCC"/>
    <w:rsid w:val="0261662C"/>
    <w:rsid w:val="026779BA"/>
    <w:rsid w:val="026C5261"/>
    <w:rsid w:val="02902A6D"/>
    <w:rsid w:val="02B96468"/>
    <w:rsid w:val="02CD36F4"/>
    <w:rsid w:val="02E64D83"/>
    <w:rsid w:val="02E828A9"/>
    <w:rsid w:val="02FC45A7"/>
    <w:rsid w:val="0301396B"/>
    <w:rsid w:val="0317318F"/>
    <w:rsid w:val="033755DF"/>
    <w:rsid w:val="038D3451"/>
    <w:rsid w:val="03991DF6"/>
    <w:rsid w:val="03CA0201"/>
    <w:rsid w:val="03CA6453"/>
    <w:rsid w:val="03CF3A69"/>
    <w:rsid w:val="03D82DEB"/>
    <w:rsid w:val="03E94B2B"/>
    <w:rsid w:val="03F4702C"/>
    <w:rsid w:val="042E69E2"/>
    <w:rsid w:val="043D4E77"/>
    <w:rsid w:val="04620439"/>
    <w:rsid w:val="04974587"/>
    <w:rsid w:val="04F05A45"/>
    <w:rsid w:val="04F9561C"/>
    <w:rsid w:val="050140F6"/>
    <w:rsid w:val="05031C1C"/>
    <w:rsid w:val="052F2A11"/>
    <w:rsid w:val="052F5AAA"/>
    <w:rsid w:val="054A15F9"/>
    <w:rsid w:val="05571F68"/>
    <w:rsid w:val="05B253F0"/>
    <w:rsid w:val="05B60A3D"/>
    <w:rsid w:val="05EA4B8A"/>
    <w:rsid w:val="05F475D8"/>
    <w:rsid w:val="060D2627"/>
    <w:rsid w:val="06147E59"/>
    <w:rsid w:val="064F2C3F"/>
    <w:rsid w:val="07230354"/>
    <w:rsid w:val="077706A0"/>
    <w:rsid w:val="0792258C"/>
    <w:rsid w:val="07A5507D"/>
    <w:rsid w:val="07A910C8"/>
    <w:rsid w:val="07C51AFC"/>
    <w:rsid w:val="07EA0E72"/>
    <w:rsid w:val="0891753F"/>
    <w:rsid w:val="08C10B92"/>
    <w:rsid w:val="08CC4C0B"/>
    <w:rsid w:val="08CE609D"/>
    <w:rsid w:val="08F16230"/>
    <w:rsid w:val="092E5CC6"/>
    <w:rsid w:val="09554A11"/>
    <w:rsid w:val="096864F2"/>
    <w:rsid w:val="096F5AD2"/>
    <w:rsid w:val="098133B4"/>
    <w:rsid w:val="09C63218"/>
    <w:rsid w:val="09CB0AC4"/>
    <w:rsid w:val="09CF031F"/>
    <w:rsid w:val="09D41DD9"/>
    <w:rsid w:val="09DE0562"/>
    <w:rsid w:val="0A540824"/>
    <w:rsid w:val="0A7B6EF7"/>
    <w:rsid w:val="0AC51722"/>
    <w:rsid w:val="0ACA6D38"/>
    <w:rsid w:val="0AD8531C"/>
    <w:rsid w:val="0B1306DF"/>
    <w:rsid w:val="0B17653B"/>
    <w:rsid w:val="0B1D50BA"/>
    <w:rsid w:val="0B3E28E6"/>
    <w:rsid w:val="0B661144"/>
    <w:rsid w:val="0BB35A1E"/>
    <w:rsid w:val="0BDF6813"/>
    <w:rsid w:val="0BED0F30"/>
    <w:rsid w:val="0BF422BF"/>
    <w:rsid w:val="0BFF6E4D"/>
    <w:rsid w:val="0C25691C"/>
    <w:rsid w:val="0C4A6383"/>
    <w:rsid w:val="0C9475FE"/>
    <w:rsid w:val="0CA830A9"/>
    <w:rsid w:val="0CDD2D53"/>
    <w:rsid w:val="0CE642FD"/>
    <w:rsid w:val="0CF63E15"/>
    <w:rsid w:val="0CFE6E71"/>
    <w:rsid w:val="0D053F57"/>
    <w:rsid w:val="0D076022"/>
    <w:rsid w:val="0D0F0D92"/>
    <w:rsid w:val="0D4C7ED9"/>
    <w:rsid w:val="0D5013A6"/>
    <w:rsid w:val="0D51729D"/>
    <w:rsid w:val="0D7116DD"/>
    <w:rsid w:val="0D7C7742"/>
    <w:rsid w:val="0DA9532B"/>
    <w:rsid w:val="0DBF06AB"/>
    <w:rsid w:val="0DC108C7"/>
    <w:rsid w:val="0DC21F49"/>
    <w:rsid w:val="0DD24882"/>
    <w:rsid w:val="0DE3083D"/>
    <w:rsid w:val="0E0013EF"/>
    <w:rsid w:val="0E1E761C"/>
    <w:rsid w:val="0E1E7AC7"/>
    <w:rsid w:val="0E344BF5"/>
    <w:rsid w:val="0E5C239D"/>
    <w:rsid w:val="0E715E49"/>
    <w:rsid w:val="0EF32D02"/>
    <w:rsid w:val="0EF95E3E"/>
    <w:rsid w:val="0F052A35"/>
    <w:rsid w:val="0F1862C4"/>
    <w:rsid w:val="0F3375A2"/>
    <w:rsid w:val="0F4A0448"/>
    <w:rsid w:val="0F711E78"/>
    <w:rsid w:val="0FE4264A"/>
    <w:rsid w:val="0FE95EB3"/>
    <w:rsid w:val="101E2C5F"/>
    <w:rsid w:val="10313844"/>
    <w:rsid w:val="108A2001"/>
    <w:rsid w:val="10993435"/>
    <w:rsid w:val="111331E7"/>
    <w:rsid w:val="111377D2"/>
    <w:rsid w:val="11301FEB"/>
    <w:rsid w:val="115E01DA"/>
    <w:rsid w:val="117B0D8C"/>
    <w:rsid w:val="11CC783A"/>
    <w:rsid w:val="11D010D8"/>
    <w:rsid w:val="121543C9"/>
    <w:rsid w:val="12323B41"/>
    <w:rsid w:val="126A32DB"/>
    <w:rsid w:val="12900868"/>
    <w:rsid w:val="12902616"/>
    <w:rsid w:val="12C32F26"/>
    <w:rsid w:val="130408D5"/>
    <w:rsid w:val="13255454"/>
    <w:rsid w:val="13763F01"/>
    <w:rsid w:val="13C44C6D"/>
    <w:rsid w:val="13FD1F2D"/>
    <w:rsid w:val="14125E20"/>
    <w:rsid w:val="14186D67"/>
    <w:rsid w:val="14327E28"/>
    <w:rsid w:val="1433594E"/>
    <w:rsid w:val="14667AD2"/>
    <w:rsid w:val="149A3C1F"/>
    <w:rsid w:val="149A59CD"/>
    <w:rsid w:val="14A01236"/>
    <w:rsid w:val="14BA7E1E"/>
    <w:rsid w:val="14BE4D00"/>
    <w:rsid w:val="14C34F24"/>
    <w:rsid w:val="14E248D3"/>
    <w:rsid w:val="14E31122"/>
    <w:rsid w:val="14EF5D19"/>
    <w:rsid w:val="155B6F0B"/>
    <w:rsid w:val="156009C5"/>
    <w:rsid w:val="15714980"/>
    <w:rsid w:val="1589308C"/>
    <w:rsid w:val="15B86DCA"/>
    <w:rsid w:val="15C251DC"/>
    <w:rsid w:val="15D14279"/>
    <w:rsid w:val="15E2762C"/>
    <w:rsid w:val="16353C00"/>
    <w:rsid w:val="16421E79"/>
    <w:rsid w:val="16481B85"/>
    <w:rsid w:val="1695469E"/>
    <w:rsid w:val="171952CF"/>
    <w:rsid w:val="173B5246"/>
    <w:rsid w:val="1760327D"/>
    <w:rsid w:val="17836BED"/>
    <w:rsid w:val="17854713"/>
    <w:rsid w:val="17BA0860"/>
    <w:rsid w:val="17F13B56"/>
    <w:rsid w:val="181025BF"/>
    <w:rsid w:val="183F48C2"/>
    <w:rsid w:val="185F0B12"/>
    <w:rsid w:val="18CD6371"/>
    <w:rsid w:val="18CE20EA"/>
    <w:rsid w:val="18FB707E"/>
    <w:rsid w:val="19A75624"/>
    <w:rsid w:val="19B525C4"/>
    <w:rsid w:val="19F16090"/>
    <w:rsid w:val="1A5328A6"/>
    <w:rsid w:val="1A646862"/>
    <w:rsid w:val="1AB570BD"/>
    <w:rsid w:val="1ABC044C"/>
    <w:rsid w:val="1ADA571C"/>
    <w:rsid w:val="1AEE0821"/>
    <w:rsid w:val="1AFA66D4"/>
    <w:rsid w:val="1B2F6E65"/>
    <w:rsid w:val="1B55264E"/>
    <w:rsid w:val="1B6D7998"/>
    <w:rsid w:val="1B7B0307"/>
    <w:rsid w:val="1B8B6070"/>
    <w:rsid w:val="1BC81072"/>
    <w:rsid w:val="1BF47E2A"/>
    <w:rsid w:val="1C145AD5"/>
    <w:rsid w:val="1C2F10F1"/>
    <w:rsid w:val="1C5426FA"/>
    <w:rsid w:val="1C9121E5"/>
    <w:rsid w:val="1CAB5AF6"/>
    <w:rsid w:val="1CC96E50"/>
    <w:rsid w:val="1CD86382"/>
    <w:rsid w:val="1D0936F0"/>
    <w:rsid w:val="1D1E53EE"/>
    <w:rsid w:val="1D3A1AFC"/>
    <w:rsid w:val="1D3E15EC"/>
    <w:rsid w:val="1D7C2114"/>
    <w:rsid w:val="1D7E40DE"/>
    <w:rsid w:val="1D884F5D"/>
    <w:rsid w:val="1D9531D6"/>
    <w:rsid w:val="1D9C27B6"/>
    <w:rsid w:val="1DA17DCD"/>
    <w:rsid w:val="1DAF6046"/>
    <w:rsid w:val="1DC835AB"/>
    <w:rsid w:val="1E2527AC"/>
    <w:rsid w:val="1E3649B9"/>
    <w:rsid w:val="1E817CA6"/>
    <w:rsid w:val="1E8474D2"/>
    <w:rsid w:val="1E9021D3"/>
    <w:rsid w:val="1EB15DEE"/>
    <w:rsid w:val="1EB92499"/>
    <w:rsid w:val="1EE95587"/>
    <w:rsid w:val="1EFD2558"/>
    <w:rsid w:val="1EFD7285"/>
    <w:rsid w:val="1F122D30"/>
    <w:rsid w:val="1F75506D"/>
    <w:rsid w:val="1FA140B4"/>
    <w:rsid w:val="1FB21E1D"/>
    <w:rsid w:val="1FC64343"/>
    <w:rsid w:val="1FDF698A"/>
    <w:rsid w:val="1FE91D68"/>
    <w:rsid w:val="1FF468DA"/>
    <w:rsid w:val="201A4426"/>
    <w:rsid w:val="20256A93"/>
    <w:rsid w:val="20410142"/>
    <w:rsid w:val="20765541"/>
    <w:rsid w:val="20790B8D"/>
    <w:rsid w:val="208D63E6"/>
    <w:rsid w:val="2099122F"/>
    <w:rsid w:val="2110329F"/>
    <w:rsid w:val="215629DF"/>
    <w:rsid w:val="21674E89"/>
    <w:rsid w:val="218E2416"/>
    <w:rsid w:val="21C46106"/>
    <w:rsid w:val="21D06ED2"/>
    <w:rsid w:val="21E87D78"/>
    <w:rsid w:val="21F7445F"/>
    <w:rsid w:val="21FE759C"/>
    <w:rsid w:val="22192627"/>
    <w:rsid w:val="22561186"/>
    <w:rsid w:val="22590C76"/>
    <w:rsid w:val="22877591"/>
    <w:rsid w:val="228C104B"/>
    <w:rsid w:val="22A068A5"/>
    <w:rsid w:val="22B45EAC"/>
    <w:rsid w:val="22B91715"/>
    <w:rsid w:val="22BA5BB9"/>
    <w:rsid w:val="22C32593"/>
    <w:rsid w:val="22E70030"/>
    <w:rsid w:val="23270D74"/>
    <w:rsid w:val="23607DE2"/>
    <w:rsid w:val="237D0994"/>
    <w:rsid w:val="238166D6"/>
    <w:rsid w:val="2392443F"/>
    <w:rsid w:val="23A105E9"/>
    <w:rsid w:val="23AE6D9F"/>
    <w:rsid w:val="23B5012E"/>
    <w:rsid w:val="23B91366"/>
    <w:rsid w:val="23C36519"/>
    <w:rsid w:val="23D3133D"/>
    <w:rsid w:val="23D700A4"/>
    <w:rsid w:val="23F70746"/>
    <w:rsid w:val="240D3AC6"/>
    <w:rsid w:val="24516CBE"/>
    <w:rsid w:val="247C6164"/>
    <w:rsid w:val="24D9609E"/>
    <w:rsid w:val="24EF7670"/>
    <w:rsid w:val="24F353B2"/>
    <w:rsid w:val="254C4AC2"/>
    <w:rsid w:val="25981AB5"/>
    <w:rsid w:val="259F4BF2"/>
    <w:rsid w:val="25BE7507"/>
    <w:rsid w:val="25CE197B"/>
    <w:rsid w:val="25E153D4"/>
    <w:rsid w:val="25E60A73"/>
    <w:rsid w:val="25F018F1"/>
    <w:rsid w:val="25F74A2E"/>
    <w:rsid w:val="260F621B"/>
    <w:rsid w:val="261C4494"/>
    <w:rsid w:val="2623001B"/>
    <w:rsid w:val="26612D6B"/>
    <w:rsid w:val="26834513"/>
    <w:rsid w:val="26AA1AA0"/>
    <w:rsid w:val="26AC3A6A"/>
    <w:rsid w:val="27082C6B"/>
    <w:rsid w:val="27767BD4"/>
    <w:rsid w:val="2791749C"/>
    <w:rsid w:val="27B5694E"/>
    <w:rsid w:val="27D03788"/>
    <w:rsid w:val="27DC6AB6"/>
    <w:rsid w:val="27DF39CB"/>
    <w:rsid w:val="27F427FC"/>
    <w:rsid w:val="281D44F4"/>
    <w:rsid w:val="28302479"/>
    <w:rsid w:val="284A74CB"/>
    <w:rsid w:val="285C501C"/>
    <w:rsid w:val="28852C5D"/>
    <w:rsid w:val="28A864EB"/>
    <w:rsid w:val="28AF339E"/>
    <w:rsid w:val="28ED2118"/>
    <w:rsid w:val="290556B4"/>
    <w:rsid w:val="29064F88"/>
    <w:rsid w:val="291476A5"/>
    <w:rsid w:val="292A6EC8"/>
    <w:rsid w:val="293533F8"/>
    <w:rsid w:val="293E0BC6"/>
    <w:rsid w:val="2940049A"/>
    <w:rsid w:val="295E53E0"/>
    <w:rsid w:val="29DE5836"/>
    <w:rsid w:val="2A077209"/>
    <w:rsid w:val="2A081A28"/>
    <w:rsid w:val="2A12304A"/>
    <w:rsid w:val="2A1262DA"/>
    <w:rsid w:val="2A2B2EF8"/>
    <w:rsid w:val="2A3D0E7D"/>
    <w:rsid w:val="2A7A3E7F"/>
    <w:rsid w:val="2A7D0899"/>
    <w:rsid w:val="2A8F2795"/>
    <w:rsid w:val="2AAA4765"/>
    <w:rsid w:val="2B1716CE"/>
    <w:rsid w:val="2B2D4A4E"/>
    <w:rsid w:val="2B7B1C5D"/>
    <w:rsid w:val="2BB138D1"/>
    <w:rsid w:val="2C1B33C6"/>
    <w:rsid w:val="2C646D6B"/>
    <w:rsid w:val="2C7C5C8D"/>
    <w:rsid w:val="2CD04D8C"/>
    <w:rsid w:val="2CD72C54"/>
    <w:rsid w:val="2CE657FC"/>
    <w:rsid w:val="2CFD0E66"/>
    <w:rsid w:val="2D0143E4"/>
    <w:rsid w:val="2D173C07"/>
    <w:rsid w:val="2D287BC3"/>
    <w:rsid w:val="2D430559"/>
    <w:rsid w:val="2D4744ED"/>
    <w:rsid w:val="2D662499"/>
    <w:rsid w:val="2D9214E0"/>
    <w:rsid w:val="2DC84F02"/>
    <w:rsid w:val="2DEC0BF0"/>
    <w:rsid w:val="2E25003C"/>
    <w:rsid w:val="2E61338C"/>
    <w:rsid w:val="2E7806D6"/>
    <w:rsid w:val="2EB84F76"/>
    <w:rsid w:val="2EE31FF3"/>
    <w:rsid w:val="2F184319"/>
    <w:rsid w:val="2F1C5505"/>
    <w:rsid w:val="2F212B1B"/>
    <w:rsid w:val="2F4F7689"/>
    <w:rsid w:val="2F53150D"/>
    <w:rsid w:val="2F6649D2"/>
    <w:rsid w:val="2F8A08CC"/>
    <w:rsid w:val="2FAF0127"/>
    <w:rsid w:val="3011493E"/>
    <w:rsid w:val="30FF50DE"/>
    <w:rsid w:val="31093867"/>
    <w:rsid w:val="3126266B"/>
    <w:rsid w:val="317433D6"/>
    <w:rsid w:val="317E6003"/>
    <w:rsid w:val="31C14142"/>
    <w:rsid w:val="31DE4CF4"/>
    <w:rsid w:val="31E56082"/>
    <w:rsid w:val="32171FB4"/>
    <w:rsid w:val="32384404"/>
    <w:rsid w:val="32717916"/>
    <w:rsid w:val="32E97DF4"/>
    <w:rsid w:val="33174961"/>
    <w:rsid w:val="331A77C2"/>
    <w:rsid w:val="33331E0D"/>
    <w:rsid w:val="33753436"/>
    <w:rsid w:val="337C47C4"/>
    <w:rsid w:val="33865643"/>
    <w:rsid w:val="339733AC"/>
    <w:rsid w:val="339C09C3"/>
    <w:rsid w:val="33A44776"/>
    <w:rsid w:val="342E43C9"/>
    <w:rsid w:val="344F3C87"/>
    <w:rsid w:val="34594B05"/>
    <w:rsid w:val="34874DDA"/>
    <w:rsid w:val="34983880"/>
    <w:rsid w:val="34DD2F25"/>
    <w:rsid w:val="35076310"/>
    <w:rsid w:val="358B5193"/>
    <w:rsid w:val="360A0F8C"/>
    <w:rsid w:val="36525CB0"/>
    <w:rsid w:val="36B10C29"/>
    <w:rsid w:val="36CC5A63"/>
    <w:rsid w:val="36D13079"/>
    <w:rsid w:val="36D773DE"/>
    <w:rsid w:val="36E27034"/>
    <w:rsid w:val="36E96615"/>
    <w:rsid w:val="36FF1994"/>
    <w:rsid w:val="373972A7"/>
    <w:rsid w:val="374B4BD9"/>
    <w:rsid w:val="37585548"/>
    <w:rsid w:val="375C0B95"/>
    <w:rsid w:val="375D66BB"/>
    <w:rsid w:val="376A0DBC"/>
    <w:rsid w:val="378B3228"/>
    <w:rsid w:val="379E11AD"/>
    <w:rsid w:val="37B81B43"/>
    <w:rsid w:val="37D70054"/>
    <w:rsid w:val="37E56DDC"/>
    <w:rsid w:val="37EE2BEA"/>
    <w:rsid w:val="383E7EED"/>
    <w:rsid w:val="3857135C"/>
    <w:rsid w:val="38581532"/>
    <w:rsid w:val="38A722E3"/>
    <w:rsid w:val="38A74091"/>
    <w:rsid w:val="38EE7F12"/>
    <w:rsid w:val="39006C13"/>
    <w:rsid w:val="390B0AC4"/>
    <w:rsid w:val="392E4F96"/>
    <w:rsid w:val="39A00A71"/>
    <w:rsid w:val="39DE1D35"/>
    <w:rsid w:val="39E11825"/>
    <w:rsid w:val="39F17B00"/>
    <w:rsid w:val="3A1930EC"/>
    <w:rsid w:val="3A345DF9"/>
    <w:rsid w:val="3A4D1E76"/>
    <w:rsid w:val="3A563FC1"/>
    <w:rsid w:val="3A72247D"/>
    <w:rsid w:val="3A946897"/>
    <w:rsid w:val="3AA765CB"/>
    <w:rsid w:val="3B9B4367"/>
    <w:rsid w:val="3BAB1079"/>
    <w:rsid w:val="3BD333EF"/>
    <w:rsid w:val="3C2F484C"/>
    <w:rsid w:val="3C3420E0"/>
    <w:rsid w:val="3C394954"/>
    <w:rsid w:val="3C5207B8"/>
    <w:rsid w:val="3C8C1F1C"/>
    <w:rsid w:val="3CA60B04"/>
    <w:rsid w:val="3CD15B81"/>
    <w:rsid w:val="3CD4741F"/>
    <w:rsid w:val="3CDB07AE"/>
    <w:rsid w:val="3CDB255C"/>
    <w:rsid w:val="3CEF4259"/>
    <w:rsid w:val="3D17730C"/>
    <w:rsid w:val="3D4A5933"/>
    <w:rsid w:val="3D583BAC"/>
    <w:rsid w:val="3D713FBF"/>
    <w:rsid w:val="3DCC0E9C"/>
    <w:rsid w:val="3DDB658B"/>
    <w:rsid w:val="3DF15DAF"/>
    <w:rsid w:val="3DF7373D"/>
    <w:rsid w:val="3E03671E"/>
    <w:rsid w:val="3E1F46CA"/>
    <w:rsid w:val="3E444130"/>
    <w:rsid w:val="3E5A1BA6"/>
    <w:rsid w:val="3EE55913"/>
    <w:rsid w:val="3F2200A2"/>
    <w:rsid w:val="3F275F2C"/>
    <w:rsid w:val="3F8F587F"/>
    <w:rsid w:val="3F8F597B"/>
    <w:rsid w:val="3FA94B93"/>
    <w:rsid w:val="3FE91433"/>
    <w:rsid w:val="402E5098"/>
    <w:rsid w:val="403703F1"/>
    <w:rsid w:val="41173D7E"/>
    <w:rsid w:val="41490391"/>
    <w:rsid w:val="41831414"/>
    <w:rsid w:val="41986C6D"/>
    <w:rsid w:val="41A27AEC"/>
    <w:rsid w:val="41C2018E"/>
    <w:rsid w:val="41C850AD"/>
    <w:rsid w:val="41FF0A9A"/>
    <w:rsid w:val="42366486"/>
    <w:rsid w:val="42424E2B"/>
    <w:rsid w:val="425D3A13"/>
    <w:rsid w:val="43106CD7"/>
    <w:rsid w:val="431D1023"/>
    <w:rsid w:val="433611E6"/>
    <w:rsid w:val="435C1F1C"/>
    <w:rsid w:val="43882D11"/>
    <w:rsid w:val="438C2802"/>
    <w:rsid w:val="43963680"/>
    <w:rsid w:val="43B9111D"/>
    <w:rsid w:val="446A0634"/>
    <w:rsid w:val="44A678F3"/>
    <w:rsid w:val="44B33DBE"/>
    <w:rsid w:val="44C23E37"/>
    <w:rsid w:val="44F901B8"/>
    <w:rsid w:val="45101210"/>
    <w:rsid w:val="454A762F"/>
    <w:rsid w:val="458E4869"/>
    <w:rsid w:val="45B21B65"/>
    <w:rsid w:val="46144D30"/>
    <w:rsid w:val="462C207A"/>
    <w:rsid w:val="465670F7"/>
    <w:rsid w:val="467D0B27"/>
    <w:rsid w:val="46A012BC"/>
    <w:rsid w:val="46B53E1D"/>
    <w:rsid w:val="46B75F04"/>
    <w:rsid w:val="46C17060"/>
    <w:rsid w:val="46E841F3"/>
    <w:rsid w:val="47084895"/>
    <w:rsid w:val="472878AD"/>
    <w:rsid w:val="47775577"/>
    <w:rsid w:val="477C19D0"/>
    <w:rsid w:val="47863E5A"/>
    <w:rsid w:val="484E7AFB"/>
    <w:rsid w:val="48515DC8"/>
    <w:rsid w:val="48535EE5"/>
    <w:rsid w:val="489108BA"/>
    <w:rsid w:val="48BF0F83"/>
    <w:rsid w:val="48C55FA1"/>
    <w:rsid w:val="49025314"/>
    <w:rsid w:val="490E4D31"/>
    <w:rsid w:val="49117305"/>
    <w:rsid w:val="49284D7B"/>
    <w:rsid w:val="492C1D2E"/>
    <w:rsid w:val="49374FBE"/>
    <w:rsid w:val="499B342D"/>
    <w:rsid w:val="49AD0F5D"/>
    <w:rsid w:val="49B91E77"/>
    <w:rsid w:val="49CB3958"/>
    <w:rsid w:val="4A154318"/>
    <w:rsid w:val="4A4A0D21"/>
    <w:rsid w:val="4A6C513B"/>
    <w:rsid w:val="4A7E09CA"/>
    <w:rsid w:val="4A7F4E6E"/>
    <w:rsid w:val="4A963F66"/>
    <w:rsid w:val="4AAC19DB"/>
    <w:rsid w:val="4B005883"/>
    <w:rsid w:val="4B524331"/>
    <w:rsid w:val="4B5F25AA"/>
    <w:rsid w:val="4BA44460"/>
    <w:rsid w:val="4BB548C0"/>
    <w:rsid w:val="4BCD7E5B"/>
    <w:rsid w:val="4C2F6420"/>
    <w:rsid w:val="4C3025F1"/>
    <w:rsid w:val="4C306DDD"/>
    <w:rsid w:val="4C3E48B5"/>
    <w:rsid w:val="4C602A7D"/>
    <w:rsid w:val="4C806C7C"/>
    <w:rsid w:val="4C9E5354"/>
    <w:rsid w:val="4CB0552C"/>
    <w:rsid w:val="4CF520D9"/>
    <w:rsid w:val="4D0F7FFF"/>
    <w:rsid w:val="4D115B26"/>
    <w:rsid w:val="4D16138E"/>
    <w:rsid w:val="4D3857A8"/>
    <w:rsid w:val="4D8E361A"/>
    <w:rsid w:val="4D8E53C8"/>
    <w:rsid w:val="4DBC1F35"/>
    <w:rsid w:val="4DBF37D4"/>
    <w:rsid w:val="4DC1579E"/>
    <w:rsid w:val="4DCE3A17"/>
    <w:rsid w:val="4DF32302"/>
    <w:rsid w:val="4E176A6B"/>
    <w:rsid w:val="4E516B22"/>
    <w:rsid w:val="4E9C3BCC"/>
    <w:rsid w:val="4EF9194B"/>
    <w:rsid w:val="4F051490"/>
    <w:rsid w:val="4F2A1121"/>
    <w:rsid w:val="4F3F510F"/>
    <w:rsid w:val="4F4544DC"/>
    <w:rsid w:val="4F5A37B4"/>
    <w:rsid w:val="4F7B6DCD"/>
    <w:rsid w:val="4F8151E4"/>
    <w:rsid w:val="4FAD6032"/>
    <w:rsid w:val="4FB947AA"/>
    <w:rsid w:val="4FBF5D0D"/>
    <w:rsid w:val="4FCE41A2"/>
    <w:rsid w:val="4FD21500"/>
    <w:rsid w:val="4FF359B6"/>
    <w:rsid w:val="4FFD0EF1"/>
    <w:rsid w:val="500D6A78"/>
    <w:rsid w:val="50250266"/>
    <w:rsid w:val="50281B04"/>
    <w:rsid w:val="504F0E3F"/>
    <w:rsid w:val="50650662"/>
    <w:rsid w:val="50B74C36"/>
    <w:rsid w:val="50F57014"/>
    <w:rsid w:val="51071719"/>
    <w:rsid w:val="510936E3"/>
    <w:rsid w:val="510E0CFA"/>
    <w:rsid w:val="51172F9F"/>
    <w:rsid w:val="51271DBC"/>
    <w:rsid w:val="51695F30"/>
    <w:rsid w:val="51B82A14"/>
    <w:rsid w:val="51BA49DE"/>
    <w:rsid w:val="51E1640E"/>
    <w:rsid w:val="51F55A16"/>
    <w:rsid w:val="51FF6894"/>
    <w:rsid w:val="5201257C"/>
    <w:rsid w:val="52311B45"/>
    <w:rsid w:val="52A336C4"/>
    <w:rsid w:val="52A66D10"/>
    <w:rsid w:val="52BD6456"/>
    <w:rsid w:val="52D95337"/>
    <w:rsid w:val="532760A3"/>
    <w:rsid w:val="533B1B4E"/>
    <w:rsid w:val="53486019"/>
    <w:rsid w:val="53591FD4"/>
    <w:rsid w:val="53683F40"/>
    <w:rsid w:val="536C0A8D"/>
    <w:rsid w:val="53894668"/>
    <w:rsid w:val="538A5F1E"/>
    <w:rsid w:val="539D601D"/>
    <w:rsid w:val="53E014AE"/>
    <w:rsid w:val="53E43F94"/>
    <w:rsid w:val="53E915AA"/>
    <w:rsid w:val="53F32429"/>
    <w:rsid w:val="54077C82"/>
    <w:rsid w:val="54751090"/>
    <w:rsid w:val="547F3CBD"/>
    <w:rsid w:val="54837309"/>
    <w:rsid w:val="549A28A4"/>
    <w:rsid w:val="54A75C14"/>
    <w:rsid w:val="54C05F9B"/>
    <w:rsid w:val="54C55B73"/>
    <w:rsid w:val="54D45DB6"/>
    <w:rsid w:val="54D71BBA"/>
    <w:rsid w:val="54F975CB"/>
    <w:rsid w:val="54FC530D"/>
    <w:rsid w:val="55A25EB5"/>
    <w:rsid w:val="55C71477"/>
    <w:rsid w:val="55C951EF"/>
    <w:rsid w:val="55E0078B"/>
    <w:rsid w:val="56024BA5"/>
    <w:rsid w:val="56026953"/>
    <w:rsid w:val="560C1580"/>
    <w:rsid w:val="56292132"/>
    <w:rsid w:val="56350AD7"/>
    <w:rsid w:val="564F2C2A"/>
    <w:rsid w:val="5686057B"/>
    <w:rsid w:val="569A4DDE"/>
    <w:rsid w:val="56AC3D25"/>
    <w:rsid w:val="56B0015D"/>
    <w:rsid w:val="56B7773E"/>
    <w:rsid w:val="56CF2CD9"/>
    <w:rsid w:val="57005821"/>
    <w:rsid w:val="571132F2"/>
    <w:rsid w:val="572B1EDA"/>
    <w:rsid w:val="57413F34"/>
    <w:rsid w:val="57527466"/>
    <w:rsid w:val="577675F9"/>
    <w:rsid w:val="57821FCB"/>
    <w:rsid w:val="579B2BBB"/>
    <w:rsid w:val="57DD31D4"/>
    <w:rsid w:val="57E36310"/>
    <w:rsid w:val="57F81DBC"/>
    <w:rsid w:val="580C3AB9"/>
    <w:rsid w:val="5834469F"/>
    <w:rsid w:val="5838665C"/>
    <w:rsid w:val="583E407C"/>
    <w:rsid w:val="58676F42"/>
    <w:rsid w:val="587527B8"/>
    <w:rsid w:val="58767185"/>
    <w:rsid w:val="58BA3515"/>
    <w:rsid w:val="596C4444"/>
    <w:rsid w:val="59736FAA"/>
    <w:rsid w:val="598D4786"/>
    <w:rsid w:val="59A87812"/>
    <w:rsid w:val="5A2040C5"/>
    <w:rsid w:val="5A311DCE"/>
    <w:rsid w:val="5A523253"/>
    <w:rsid w:val="5A932270"/>
    <w:rsid w:val="5AE42ACB"/>
    <w:rsid w:val="5AFA22EF"/>
    <w:rsid w:val="5B330AF2"/>
    <w:rsid w:val="5B4B2A39"/>
    <w:rsid w:val="5B537BA0"/>
    <w:rsid w:val="5B696D73"/>
    <w:rsid w:val="5B6B6D49"/>
    <w:rsid w:val="5B762D1A"/>
    <w:rsid w:val="5BAA7871"/>
    <w:rsid w:val="5BCF63A9"/>
    <w:rsid w:val="5BE865EB"/>
    <w:rsid w:val="5C2A09B2"/>
    <w:rsid w:val="5C5B0B6B"/>
    <w:rsid w:val="5C6739B4"/>
    <w:rsid w:val="5C8456B0"/>
    <w:rsid w:val="5C983B6D"/>
    <w:rsid w:val="5CB564CD"/>
    <w:rsid w:val="5CD252D1"/>
    <w:rsid w:val="5D2C0F26"/>
    <w:rsid w:val="5D323FC2"/>
    <w:rsid w:val="5D3C6BEF"/>
    <w:rsid w:val="5D5C2DED"/>
    <w:rsid w:val="5D7D7BFC"/>
    <w:rsid w:val="5D861C18"/>
    <w:rsid w:val="5D9C58DF"/>
    <w:rsid w:val="5DAB167E"/>
    <w:rsid w:val="5DB04EE7"/>
    <w:rsid w:val="5DB22A0D"/>
    <w:rsid w:val="5DBE13B2"/>
    <w:rsid w:val="5DD13BCE"/>
    <w:rsid w:val="5DF43025"/>
    <w:rsid w:val="5E0314BA"/>
    <w:rsid w:val="5E0771FD"/>
    <w:rsid w:val="5E3616AF"/>
    <w:rsid w:val="5E5F0DE7"/>
    <w:rsid w:val="5E6463FD"/>
    <w:rsid w:val="5EAE1426"/>
    <w:rsid w:val="5EBA41F7"/>
    <w:rsid w:val="5ECE3876"/>
    <w:rsid w:val="5ED66BCF"/>
    <w:rsid w:val="5EDB19DD"/>
    <w:rsid w:val="5F0729D1"/>
    <w:rsid w:val="5F0D1F9D"/>
    <w:rsid w:val="5F225970"/>
    <w:rsid w:val="5F28205A"/>
    <w:rsid w:val="5F9D4346"/>
    <w:rsid w:val="5FBF3369"/>
    <w:rsid w:val="5FE315A4"/>
    <w:rsid w:val="5FF84015"/>
    <w:rsid w:val="60145C01"/>
    <w:rsid w:val="60196D73"/>
    <w:rsid w:val="60396BAB"/>
    <w:rsid w:val="608E7761"/>
    <w:rsid w:val="60BB607C"/>
    <w:rsid w:val="60E05AE3"/>
    <w:rsid w:val="60F878A0"/>
    <w:rsid w:val="61434294"/>
    <w:rsid w:val="61532759"/>
    <w:rsid w:val="616404C2"/>
    <w:rsid w:val="618D5C6B"/>
    <w:rsid w:val="619D39D4"/>
    <w:rsid w:val="61E11B13"/>
    <w:rsid w:val="61EB2991"/>
    <w:rsid w:val="61FC06FB"/>
    <w:rsid w:val="620F6680"/>
    <w:rsid w:val="62395E08"/>
    <w:rsid w:val="6256605D"/>
    <w:rsid w:val="6299063F"/>
    <w:rsid w:val="62A0377C"/>
    <w:rsid w:val="62A96AD4"/>
    <w:rsid w:val="633B34A5"/>
    <w:rsid w:val="635822A8"/>
    <w:rsid w:val="638C3D00"/>
    <w:rsid w:val="638D1F52"/>
    <w:rsid w:val="63B53257"/>
    <w:rsid w:val="63CE60C7"/>
    <w:rsid w:val="641461CF"/>
    <w:rsid w:val="64153CF6"/>
    <w:rsid w:val="645C7B76"/>
    <w:rsid w:val="64630F05"/>
    <w:rsid w:val="650A1380"/>
    <w:rsid w:val="65420B1A"/>
    <w:rsid w:val="65654809"/>
    <w:rsid w:val="657D7000"/>
    <w:rsid w:val="65B57F02"/>
    <w:rsid w:val="65B65064"/>
    <w:rsid w:val="65E9543A"/>
    <w:rsid w:val="65ED1C09"/>
    <w:rsid w:val="65F63CF3"/>
    <w:rsid w:val="65FE0EE5"/>
    <w:rsid w:val="660E6C4E"/>
    <w:rsid w:val="66214BD4"/>
    <w:rsid w:val="6646288C"/>
    <w:rsid w:val="66703465"/>
    <w:rsid w:val="667547CC"/>
    <w:rsid w:val="668B64F1"/>
    <w:rsid w:val="66A7157D"/>
    <w:rsid w:val="66B9305E"/>
    <w:rsid w:val="66D24120"/>
    <w:rsid w:val="66F422E8"/>
    <w:rsid w:val="671D04B7"/>
    <w:rsid w:val="67B57CC9"/>
    <w:rsid w:val="682409AB"/>
    <w:rsid w:val="68460921"/>
    <w:rsid w:val="684759B4"/>
    <w:rsid w:val="686E1C26"/>
    <w:rsid w:val="688301AB"/>
    <w:rsid w:val="689E69AF"/>
    <w:rsid w:val="68BC459E"/>
    <w:rsid w:val="68E44A7D"/>
    <w:rsid w:val="69272501"/>
    <w:rsid w:val="69586B5E"/>
    <w:rsid w:val="69714AFC"/>
    <w:rsid w:val="69823BDB"/>
    <w:rsid w:val="6985191D"/>
    <w:rsid w:val="69877444"/>
    <w:rsid w:val="69CC6D31"/>
    <w:rsid w:val="69CE4E6D"/>
    <w:rsid w:val="69CE6E20"/>
    <w:rsid w:val="6A014A01"/>
    <w:rsid w:val="6A4F66FC"/>
    <w:rsid w:val="6A6432E1"/>
    <w:rsid w:val="6A723C50"/>
    <w:rsid w:val="6A845731"/>
    <w:rsid w:val="6AA302AD"/>
    <w:rsid w:val="6AB76A69"/>
    <w:rsid w:val="6AC02C0D"/>
    <w:rsid w:val="6AD40467"/>
    <w:rsid w:val="6AE54422"/>
    <w:rsid w:val="6AF503DD"/>
    <w:rsid w:val="6AF6662F"/>
    <w:rsid w:val="6B2E2D35"/>
    <w:rsid w:val="6B6537B4"/>
    <w:rsid w:val="6B92605F"/>
    <w:rsid w:val="6B9F03FA"/>
    <w:rsid w:val="6BA3608B"/>
    <w:rsid w:val="6BB12556"/>
    <w:rsid w:val="6BB34520"/>
    <w:rsid w:val="6BEC7A20"/>
    <w:rsid w:val="6C523D39"/>
    <w:rsid w:val="6C587329"/>
    <w:rsid w:val="6C88054B"/>
    <w:rsid w:val="6C891725"/>
    <w:rsid w:val="6CC4275D"/>
    <w:rsid w:val="6D082649"/>
    <w:rsid w:val="6D0A2431"/>
    <w:rsid w:val="6D2F5E28"/>
    <w:rsid w:val="6D4512CA"/>
    <w:rsid w:val="6D4A0EB4"/>
    <w:rsid w:val="6D5C4743"/>
    <w:rsid w:val="6D6655C2"/>
    <w:rsid w:val="6D806684"/>
    <w:rsid w:val="6D9126D1"/>
    <w:rsid w:val="6E0A23F1"/>
    <w:rsid w:val="6E135170"/>
    <w:rsid w:val="6E250FD9"/>
    <w:rsid w:val="6E6C791C"/>
    <w:rsid w:val="6E9248C1"/>
    <w:rsid w:val="6EB81E4D"/>
    <w:rsid w:val="6ECB1B80"/>
    <w:rsid w:val="6ED22F0F"/>
    <w:rsid w:val="6EEB70CF"/>
    <w:rsid w:val="6EED1AF7"/>
    <w:rsid w:val="6EFF5CCE"/>
    <w:rsid w:val="6F2F210F"/>
    <w:rsid w:val="6F833E30"/>
    <w:rsid w:val="6FAC0E97"/>
    <w:rsid w:val="6FBB39A3"/>
    <w:rsid w:val="6FC22F83"/>
    <w:rsid w:val="6FDF7997"/>
    <w:rsid w:val="70052E70"/>
    <w:rsid w:val="702A0B29"/>
    <w:rsid w:val="702A28D7"/>
    <w:rsid w:val="70643DB9"/>
    <w:rsid w:val="707E21F5"/>
    <w:rsid w:val="70822713"/>
    <w:rsid w:val="70A94143"/>
    <w:rsid w:val="70C96594"/>
    <w:rsid w:val="70D016D0"/>
    <w:rsid w:val="70F42B31"/>
    <w:rsid w:val="71123A97"/>
    <w:rsid w:val="711F4406"/>
    <w:rsid w:val="713779A1"/>
    <w:rsid w:val="71687B5B"/>
    <w:rsid w:val="71A46EE4"/>
    <w:rsid w:val="71A60683"/>
    <w:rsid w:val="720B16BC"/>
    <w:rsid w:val="720D24B0"/>
    <w:rsid w:val="723920F5"/>
    <w:rsid w:val="727A5D97"/>
    <w:rsid w:val="727E6F0A"/>
    <w:rsid w:val="72866D81"/>
    <w:rsid w:val="72AB765B"/>
    <w:rsid w:val="72AF5315"/>
    <w:rsid w:val="72DD6326"/>
    <w:rsid w:val="732D2E0A"/>
    <w:rsid w:val="735A7977"/>
    <w:rsid w:val="73CD1EF7"/>
    <w:rsid w:val="73D2750D"/>
    <w:rsid w:val="74016CFC"/>
    <w:rsid w:val="743261FE"/>
    <w:rsid w:val="74424693"/>
    <w:rsid w:val="7443040B"/>
    <w:rsid w:val="74674908"/>
    <w:rsid w:val="749F1AE5"/>
    <w:rsid w:val="74AD26CC"/>
    <w:rsid w:val="74C27582"/>
    <w:rsid w:val="752C1A9F"/>
    <w:rsid w:val="753F5076"/>
    <w:rsid w:val="755C1784"/>
    <w:rsid w:val="756248C1"/>
    <w:rsid w:val="7596337E"/>
    <w:rsid w:val="75B3511C"/>
    <w:rsid w:val="75E43528"/>
    <w:rsid w:val="75FC2F67"/>
    <w:rsid w:val="76206C56"/>
    <w:rsid w:val="76827C0C"/>
    <w:rsid w:val="768C6099"/>
    <w:rsid w:val="76A71125"/>
    <w:rsid w:val="76FB6D7B"/>
    <w:rsid w:val="770E2F52"/>
    <w:rsid w:val="77185B7F"/>
    <w:rsid w:val="77246A77"/>
    <w:rsid w:val="7733135F"/>
    <w:rsid w:val="77471FC0"/>
    <w:rsid w:val="77514BED"/>
    <w:rsid w:val="775C1F10"/>
    <w:rsid w:val="775D7A36"/>
    <w:rsid w:val="77A1631C"/>
    <w:rsid w:val="77A318EC"/>
    <w:rsid w:val="77C81353"/>
    <w:rsid w:val="77C90C27"/>
    <w:rsid w:val="77DC095A"/>
    <w:rsid w:val="77DF669D"/>
    <w:rsid w:val="77EC7614"/>
    <w:rsid w:val="77F02658"/>
    <w:rsid w:val="77F11957"/>
    <w:rsid w:val="782B3690"/>
    <w:rsid w:val="78370287"/>
    <w:rsid w:val="78436C2C"/>
    <w:rsid w:val="784C1F84"/>
    <w:rsid w:val="785C7CED"/>
    <w:rsid w:val="78727511"/>
    <w:rsid w:val="788F00C3"/>
    <w:rsid w:val="78CC6C21"/>
    <w:rsid w:val="78D43D28"/>
    <w:rsid w:val="78D67AA0"/>
    <w:rsid w:val="78D855C6"/>
    <w:rsid w:val="78EA52F9"/>
    <w:rsid w:val="78F63C9E"/>
    <w:rsid w:val="791C1DDF"/>
    <w:rsid w:val="792A3948"/>
    <w:rsid w:val="795D6B5A"/>
    <w:rsid w:val="7962698E"/>
    <w:rsid w:val="797F1EE5"/>
    <w:rsid w:val="79BC4EE7"/>
    <w:rsid w:val="79E93C90"/>
    <w:rsid w:val="7A1C5986"/>
    <w:rsid w:val="7A4B0019"/>
    <w:rsid w:val="7A5A025C"/>
    <w:rsid w:val="7A5B64AE"/>
    <w:rsid w:val="7A6D3E9B"/>
    <w:rsid w:val="7A8E43D0"/>
    <w:rsid w:val="7AAD4830"/>
    <w:rsid w:val="7AC83418"/>
    <w:rsid w:val="7B0F21BC"/>
    <w:rsid w:val="7B590514"/>
    <w:rsid w:val="7B640A94"/>
    <w:rsid w:val="7B737828"/>
    <w:rsid w:val="7BA9149B"/>
    <w:rsid w:val="7BE6624C"/>
    <w:rsid w:val="7C06244A"/>
    <w:rsid w:val="7C116DEA"/>
    <w:rsid w:val="7C1F52BA"/>
    <w:rsid w:val="7C23124E"/>
    <w:rsid w:val="7C3C7C24"/>
    <w:rsid w:val="7CCA70B9"/>
    <w:rsid w:val="7D0A7D18"/>
    <w:rsid w:val="7D3B4375"/>
    <w:rsid w:val="7D792545"/>
    <w:rsid w:val="7D944A96"/>
    <w:rsid w:val="7DAB199B"/>
    <w:rsid w:val="7DEE13E8"/>
    <w:rsid w:val="7DF14474"/>
    <w:rsid w:val="7E8A59B9"/>
    <w:rsid w:val="7E972E6A"/>
    <w:rsid w:val="7ED4682F"/>
    <w:rsid w:val="7F477001"/>
    <w:rsid w:val="7F58120E"/>
    <w:rsid w:val="7F5D6825"/>
    <w:rsid w:val="7F805B82"/>
    <w:rsid w:val="7F8738A2"/>
    <w:rsid w:val="7FB4040F"/>
    <w:rsid w:val="7FF45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2">
    <w:name w:val="heading 3"/>
    <w:basedOn w:val="1"/>
    <w:next w:val="1"/>
    <w:link w:val="26"/>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3">
    <w:name w:val="heading 4"/>
    <w:basedOn w:val="1"/>
    <w:next w:val="1"/>
    <w:qFormat/>
    <w:uiPriority w:val="0"/>
    <w:pPr>
      <w:keepNext/>
      <w:keepLines/>
      <w:spacing w:beforeLines="50" w:afterLines="50"/>
      <w:outlineLvl w:val="3"/>
    </w:pPr>
    <w:rPr>
      <w:rFonts w:ascii="Arial" w:hAnsi="Arial"/>
      <w:b/>
      <w:bCs/>
      <w:szCs w:val="28"/>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7"/>
    <w:autoRedefine/>
    <w:qFormat/>
    <w:uiPriority w:val="0"/>
    <w:rPr>
      <w:rFonts w:ascii="宋体" w:eastAsia="宋体"/>
      <w:sz w:val="18"/>
      <w:szCs w:val="18"/>
    </w:rPr>
  </w:style>
  <w:style w:type="paragraph" w:styleId="5">
    <w:name w:val="annotation text"/>
    <w:basedOn w:val="1"/>
    <w:autoRedefine/>
    <w:qFormat/>
    <w:uiPriority w:val="0"/>
    <w:pPr>
      <w:jc w:val="left"/>
    </w:pPr>
  </w:style>
  <w:style w:type="paragraph" w:styleId="6">
    <w:name w:val="Body Text"/>
    <w:basedOn w:val="1"/>
    <w:link w:val="25"/>
    <w:autoRedefine/>
    <w:qFormat/>
    <w:uiPriority w:val="0"/>
    <w:pPr>
      <w:spacing w:after="120"/>
    </w:pPr>
  </w:style>
  <w:style w:type="paragraph" w:styleId="7">
    <w:name w:val="Body Text Indent"/>
    <w:basedOn w:val="1"/>
    <w:next w:val="3"/>
    <w:link w:val="31"/>
    <w:autoRedefine/>
    <w:qFormat/>
    <w:uiPriority w:val="99"/>
    <w:pPr>
      <w:spacing w:line="500" w:lineRule="exact"/>
      <w:ind w:firstLine="420"/>
    </w:pPr>
    <w:rPr>
      <w:sz w:val="32"/>
      <w:szCs w:val="20"/>
    </w:rPr>
  </w:style>
  <w:style w:type="paragraph" w:styleId="8">
    <w:name w:val="Plain Text"/>
    <w:basedOn w:val="1"/>
    <w:next w:val="9"/>
    <w:autoRedefine/>
    <w:qFormat/>
    <w:uiPriority w:val="99"/>
    <w:rPr>
      <w:rFonts w:ascii="宋体" w:hAnsi="Courier New"/>
      <w:sz w:val="21"/>
    </w:rPr>
  </w:style>
  <w:style w:type="paragraph" w:styleId="9">
    <w:name w:val="List Number 5"/>
    <w:basedOn w:val="1"/>
    <w:next w:val="10"/>
    <w:autoRedefine/>
    <w:qFormat/>
    <w:uiPriority w:val="0"/>
    <w:pPr>
      <w:numPr>
        <w:ilvl w:val="0"/>
        <w:numId w:val="1"/>
      </w:numPr>
    </w:pPr>
  </w:style>
  <w:style w:type="paragraph" w:styleId="10">
    <w:name w:val="Body Text First Indent"/>
    <w:basedOn w:val="1"/>
    <w:autoRedefine/>
    <w:qFormat/>
    <w:uiPriority w:val="0"/>
    <w:pPr>
      <w:spacing w:line="440" w:lineRule="exact"/>
      <w:ind w:firstLine="504"/>
    </w:pPr>
    <w:rPr>
      <w:sz w:val="21"/>
    </w:rPr>
  </w:style>
  <w:style w:type="paragraph" w:styleId="11">
    <w:name w:val="Balloon Text"/>
    <w:basedOn w:val="1"/>
    <w:link w:val="24"/>
    <w:autoRedefine/>
    <w:qFormat/>
    <w:uiPriority w:val="0"/>
    <w:rPr>
      <w:sz w:val="18"/>
      <w:szCs w:val="18"/>
    </w:rPr>
  </w:style>
  <w:style w:type="paragraph" w:styleId="12">
    <w:name w:val="footer"/>
    <w:basedOn w:val="1"/>
    <w:link w:val="22"/>
    <w:autoRedefine/>
    <w:qFormat/>
    <w:uiPriority w:val="99"/>
    <w:pPr>
      <w:tabs>
        <w:tab w:val="center" w:pos="4153"/>
        <w:tab w:val="right" w:pos="8306"/>
      </w:tabs>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jc w:val="center"/>
    </w:pPr>
    <w:rPr>
      <w:sz w:val="18"/>
      <w:szCs w:val="18"/>
    </w:rPr>
  </w:style>
  <w:style w:type="paragraph" w:styleId="14">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5">
    <w:name w:val="List"/>
    <w:qFormat/>
    <w:uiPriority w:val="0"/>
    <w:pPr>
      <w:widowControl w:val="0"/>
      <w:kinsoku w:val="0"/>
      <w:autoSpaceDE w:val="0"/>
      <w:autoSpaceDN w:val="0"/>
      <w:adjustRightInd w:val="0"/>
      <w:snapToGrid w:val="0"/>
      <w:spacing w:line="560" w:lineRule="exact"/>
      <w:ind w:left="200" w:hanging="200" w:hangingChars="200"/>
      <w:contextualSpacing/>
      <w:jc w:val="both"/>
      <w:textAlignment w:val="baseline"/>
    </w:pPr>
    <w:rPr>
      <w:rFonts w:ascii="Times New Roman" w:hAnsi="Times New Roman" w:eastAsia="宋体" w:cs="Times New Roman"/>
      <w:snapToGrid w:val="0"/>
      <w:color w:val="000000"/>
      <w:kern w:val="2"/>
      <w:sz w:val="21"/>
      <w:szCs w:val="24"/>
      <w:lang w:val="en-US" w:eastAsia="zh-CN" w:bidi="ar-SA"/>
    </w:rPr>
  </w:style>
  <w:style w:type="paragraph" w:styleId="16">
    <w:name w:val="Body Text First Indent 2"/>
    <w:basedOn w:val="7"/>
    <w:next w:val="14"/>
    <w:link w:val="30"/>
    <w:autoRedefine/>
    <w:qFormat/>
    <w:uiPriority w:val="99"/>
    <w:pPr>
      <w:spacing w:after="120" w:line="240" w:lineRule="auto"/>
      <w:ind w:left="420" w:leftChars="200"/>
    </w:pPr>
    <w:rPr>
      <w:sz w:val="21"/>
    </w:rPr>
  </w:style>
  <w:style w:type="character" w:styleId="19">
    <w:name w:val="annotation reference"/>
    <w:basedOn w:val="18"/>
    <w:autoRedefine/>
    <w:qFormat/>
    <w:uiPriority w:val="0"/>
    <w:rPr>
      <w:sz w:val="21"/>
      <w:szCs w:val="21"/>
    </w:rPr>
  </w:style>
  <w:style w:type="table" w:customStyle="1" w:styleId="20">
    <w:name w:val="Table Normal"/>
    <w:autoRedefine/>
    <w:qFormat/>
    <w:uiPriority w:val="0"/>
    <w:tblPr>
      <w:tblCellMar>
        <w:top w:w="0" w:type="dxa"/>
        <w:left w:w="0" w:type="dxa"/>
        <w:bottom w:w="0" w:type="dxa"/>
        <w:right w:w="0" w:type="dxa"/>
      </w:tblCellMar>
    </w:tblPr>
  </w:style>
  <w:style w:type="character" w:customStyle="1" w:styleId="21">
    <w:name w:val="页眉 字符"/>
    <w:basedOn w:val="18"/>
    <w:link w:val="13"/>
    <w:autoRedefine/>
    <w:qFormat/>
    <w:uiPriority w:val="0"/>
    <w:rPr>
      <w:rFonts w:eastAsia="Arial"/>
      <w:snapToGrid w:val="0"/>
      <w:color w:val="000000"/>
      <w:sz w:val="18"/>
      <w:szCs w:val="18"/>
    </w:rPr>
  </w:style>
  <w:style w:type="character" w:customStyle="1" w:styleId="22">
    <w:name w:val="页脚 字符"/>
    <w:basedOn w:val="18"/>
    <w:link w:val="12"/>
    <w:autoRedefine/>
    <w:qFormat/>
    <w:uiPriority w:val="99"/>
    <w:rPr>
      <w:rFonts w:eastAsia="Arial"/>
      <w:snapToGrid w:val="0"/>
      <w:color w:val="000000"/>
      <w:sz w:val="18"/>
      <w:szCs w:val="18"/>
    </w:rPr>
  </w:style>
  <w:style w:type="paragraph" w:styleId="23">
    <w:name w:val="List Paragraph"/>
    <w:basedOn w:val="1"/>
    <w:autoRedefine/>
    <w:qFormat/>
    <w:uiPriority w:val="99"/>
    <w:pPr>
      <w:ind w:firstLine="420"/>
    </w:pPr>
  </w:style>
  <w:style w:type="character" w:customStyle="1" w:styleId="24">
    <w:name w:val="批注框文本 字符"/>
    <w:basedOn w:val="18"/>
    <w:link w:val="11"/>
    <w:autoRedefine/>
    <w:qFormat/>
    <w:uiPriority w:val="0"/>
    <w:rPr>
      <w:rFonts w:eastAsia="Arial"/>
      <w:snapToGrid w:val="0"/>
      <w:color w:val="000000"/>
      <w:sz w:val="18"/>
      <w:szCs w:val="18"/>
    </w:rPr>
  </w:style>
  <w:style w:type="character" w:customStyle="1" w:styleId="25">
    <w:name w:val="正文文本 字符"/>
    <w:basedOn w:val="18"/>
    <w:link w:val="6"/>
    <w:autoRedefine/>
    <w:qFormat/>
    <w:uiPriority w:val="0"/>
    <w:rPr>
      <w:rFonts w:eastAsia="Arial"/>
      <w:snapToGrid w:val="0"/>
      <w:color w:val="000000"/>
      <w:sz w:val="21"/>
      <w:szCs w:val="21"/>
    </w:rPr>
  </w:style>
  <w:style w:type="character" w:customStyle="1" w:styleId="26">
    <w:name w:val="标题 3 字符"/>
    <w:basedOn w:val="18"/>
    <w:link w:val="2"/>
    <w:autoRedefine/>
    <w:qFormat/>
    <w:uiPriority w:val="0"/>
    <w:rPr>
      <w:rFonts w:ascii="Times New Roman" w:hAnsi="Times New Roman" w:cs="Times New Roman"/>
      <w:b/>
      <w:bCs/>
      <w:kern w:val="2"/>
      <w:sz w:val="28"/>
      <w:szCs w:val="32"/>
    </w:rPr>
  </w:style>
  <w:style w:type="character" w:customStyle="1" w:styleId="27">
    <w:name w:val="文档结构图 字符"/>
    <w:basedOn w:val="18"/>
    <w:link w:val="4"/>
    <w:autoRedefine/>
    <w:qFormat/>
    <w:uiPriority w:val="0"/>
    <w:rPr>
      <w:rFonts w:ascii="宋体"/>
      <w:snapToGrid w:val="0"/>
      <w:color w:val="000000"/>
      <w:sz w:val="18"/>
      <w:szCs w:val="18"/>
    </w:rPr>
  </w:style>
  <w:style w:type="paragraph" w:customStyle="1" w:styleId="28">
    <w:name w:val="表格"/>
    <w:basedOn w:val="1"/>
    <w:link w:val="29"/>
    <w:autoRedefine/>
    <w:qFormat/>
    <w:uiPriority w:val="0"/>
    <w:pPr>
      <w:spacing w:line="240" w:lineRule="auto"/>
      <w:ind w:firstLine="0" w:firstLineChars="0"/>
      <w:jc w:val="center"/>
    </w:pPr>
    <w:rPr>
      <w:rFonts w:ascii="宋体" w:hAnsi="宋体" w:eastAsia="仿宋" w:cs="宋体"/>
      <w:sz w:val="21"/>
    </w:rPr>
  </w:style>
  <w:style w:type="character" w:customStyle="1" w:styleId="29">
    <w:name w:val="表格 字符"/>
    <w:basedOn w:val="18"/>
    <w:link w:val="28"/>
    <w:autoRedefine/>
    <w:qFormat/>
    <w:uiPriority w:val="0"/>
    <w:rPr>
      <w:rFonts w:ascii="宋体" w:hAnsi="宋体" w:eastAsia="仿宋" w:cs="宋体"/>
      <w:snapToGrid w:val="0"/>
      <w:color w:val="000000"/>
      <w:sz w:val="21"/>
      <w:szCs w:val="21"/>
    </w:rPr>
  </w:style>
  <w:style w:type="character" w:customStyle="1" w:styleId="30">
    <w:name w:val="正文首行缩进 2 字符"/>
    <w:basedOn w:val="31"/>
    <w:link w:val="16"/>
    <w:autoRedefine/>
    <w:qFormat/>
    <w:uiPriority w:val="0"/>
    <w:rPr>
      <w:kern w:val="2"/>
      <w:sz w:val="28"/>
      <w:szCs w:val="24"/>
    </w:rPr>
  </w:style>
  <w:style w:type="character" w:customStyle="1" w:styleId="31">
    <w:name w:val="正文文本缩进 字符"/>
    <w:basedOn w:val="18"/>
    <w:link w:val="7"/>
    <w:autoRedefine/>
    <w:qFormat/>
    <w:uiPriority w:val="0"/>
    <w:rPr>
      <w:kern w:val="2"/>
      <w:sz w:val="28"/>
      <w:szCs w:val="24"/>
    </w:rPr>
  </w:style>
  <w:style w:type="paragraph" w:customStyle="1" w:styleId="32">
    <w:name w:val="别动"/>
    <w:basedOn w:val="33"/>
    <w:autoRedefine/>
    <w:qFormat/>
    <w:uiPriority w:val="0"/>
    <w:pPr>
      <w:spacing w:line="340" w:lineRule="exact"/>
    </w:pPr>
    <w:rPr>
      <w:rFonts w:ascii="Times New Roman" w:hAnsi="Times New Roman" w:eastAsia="宋体"/>
      <w:b w:val="0"/>
      <w:sz w:val="21"/>
    </w:rPr>
  </w:style>
  <w:style w:type="paragraph" w:customStyle="1" w:styleId="33">
    <w:name w:val="表头"/>
    <w:basedOn w:val="1"/>
    <w:next w:val="32"/>
    <w:autoRedefine/>
    <w:qFormat/>
    <w:uiPriority w:val="0"/>
    <w:pPr>
      <w:spacing w:line="240" w:lineRule="auto"/>
      <w:ind w:firstLine="0" w:firstLineChars="0"/>
      <w:jc w:val="center"/>
    </w:pPr>
    <w:rPr>
      <w:rFonts w:hint="eastAsia" w:cs="Times New Roman"/>
      <w:b/>
      <w:szCs w:val="20"/>
    </w:rPr>
  </w:style>
  <w:style w:type="paragraph" w:customStyle="1" w:styleId="3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2A42A-0D7F-48CA-BAC7-42AC021E2F22}">
  <ds:schemaRefs/>
</ds:datastoreItem>
</file>

<file path=docProps/app.xml><?xml version="1.0" encoding="utf-8"?>
<Properties xmlns="http://schemas.openxmlformats.org/officeDocument/2006/extended-properties" xmlns:vt="http://schemas.openxmlformats.org/officeDocument/2006/docPropsVTypes">
  <Template>Normal</Template>
  <Pages>14</Pages>
  <Words>6238</Words>
  <Characters>6703</Characters>
  <Lines>62</Lines>
  <Paragraphs>17</Paragraphs>
  <TotalTime>20</TotalTime>
  <ScaleCrop>false</ScaleCrop>
  <LinksUpToDate>false</LinksUpToDate>
  <CharactersWithSpaces>6732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自由</cp:lastModifiedBy>
  <cp:lastPrinted>2022-02-10T10:24:00Z</cp:lastPrinted>
  <dcterms:modified xsi:type="dcterms:W3CDTF">2025-08-19T02:28:10Z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2052-12.1.0.21541</vt:lpwstr>
  </property>
  <property fmtid="{D5CDD505-2E9C-101B-9397-08002B2CF9AE}" pid="5" name="ICV">
    <vt:lpwstr>4F121536321C41BAB51B29743B4DE295_13</vt:lpwstr>
  </property>
  <property fmtid="{D5CDD505-2E9C-101B-9397-08002B2CF9AE}" pid="6" name="KSOTemplateDocerSaveRecord">
    <vt:lpwstr>eyJoZGlkIjoiZDcwYWI5ZDc0NWJkMGM5ZTEwODhlZGJkOTcxYmY3N2QiLCJ1c2VySWQiOiIyNzM1NDA3NTcifQ==</vt:lpwstr>
  </property>
</Properties>
</file>