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39DF">
      <w:pPr>
        <w:keepNext w:val="0"/>
        <w:keepLines w:val="0"/>
        <w:pageBreakBefore w:val="0"/>
        <w:wordWrap/>
        <w:overflowPunct/>
        <w:topLinePunct w:val="0"/>
        <w:bidi w:val="0"/>
        <w:spacing w:line="360" w:lineRule="auto"/>
        <w:ind w:firstLine="208" w:firstLineChars="50"/>
        <w:jc w:val="center"/>
        <w:rPr>
          <w:rFonts w:ascii="宋体" w:hAnsi="宋体" w:eastAsia="宋体" w:cs="宋体"/>
          <w:spacing w:val="-12"/>
          <w:sz w:val="44"/>
          <w:szCs w:val="44"/>
        </w:rPr>
      </w:pPr>
    </w:p>
    <w:p w14:paraId="3248099D">
      <w:pPr>
        <w:keepNext w:val="0"/>
        <w:keepLines w:val="0"/>
        <w:pageBreakBefore w:val="0"/>
        <w:wordWrap/>
        <w:overflowPunct/>
        <w:topLinePunct w:val="0"/>
        <w:bidi w:val="0"/>
        <w:spacing w:line="360" w:lineRule="auto"/>
        <w:ind w:firstLine="208" w:firstLineChars="50"/>
        <w:jc w:val="center"/>
        <w:rPr>
          <w:rFonts w:ascii="宋体" w:hAnsi="宋体" w:eastAsia="宋体" w:cs="宋体"/>
          <w:spacing w:val="-12"/>
          <w:sz w:val="44"/>
          <w:szCs w:val="44"/>
        </w:rPr>
      </w:pPr>
    </w:p>
    <w:p w14:paraId="2AAACEE8">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snapToGrid/>
          <w:kern w:val="2"/>
          <w:sz w:val="44"/>
          <w:szCs w:val="44"/>
          <w:lang w:eastAsia="zh-CN"/>
        </w:rPr>
      </w:pPr>
      <w:r>
        <w:rPr>
          <w:rFonts w:hint="eastAsia" w:ascii="方正小标宋简体" w:hAnsi="方正小标宋简体" w:eastAsia="方正小标宋简体" w:cs="方正小标宋简体"/>
          <w:bCs/>
          <w:snapToGrid/>
          <w:kern w:val="2"/>
          <w:sz w:val="44"/>
          <w:szCs w:val="44"/>
          <w:lang w:eastAsia="zh-CN"/>
        </w:rPr>
        <w:t>关于对《吐鲁番市昌顺矿业有限公司葡萄沟</w:t>
      </w:r>
    </w:p>
    <w:p w14:paraId="33E9556C">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snapToGrid/>
          <w:kern w:val="2"/>
          <w:sz w:val="44"/>
          <w:szCs w:val="44"/>
          <w:lang w:eastAsia="zh-CN"/>
        </w:rPr>
      </w:pPr>
      <w:r>
        <w:rPr>
          <w:rFonts w:hint="eastAsia" w:ascii="方正小标宋简体" w:hAnsi="方正小标宋简体" w:eastAsia="方正小标宋简体" w:cs="方正小标宋简体"/>
          <w:bCs/>
          <w:snapToGrid/>
          <w:kern w:val="2"/>
          <w:sz w:val="44"/>
          <w:szCs w:val="44"/>
          <w:lang w:eastAsia="zh-CN"/>
        </w:rPr>
        <w:t>北侧2号建筑用砂矿矿产资源开发利用与</w:t>
      </w:r>
    </w:p>
    <w:p w14:paraId="3E432C1F">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snapToGrid/>
          <w:kern w:val="2"/>
          <w:sz w:val="44"/>
          <w:szCs w:val="44"/>
          <w:lang w:eastAsia="zh-CN"/>
        </w:rPr>
      </w:pPr>
      <w:r>
        <w:rPr>
          <w:rFonts w:hint="eastAsia" w:ascii="方正小标宋简体" w:hAnsi="方正小标宋简体" w:eastAsia="方正小标宋简体" w:cs="方正小标宋简体"/>
          <w:bCs/>
          <w:snapToGrid/>
          <w:kern w:val="2"/>
          <w:sz w:val="44"/>
          <w:szCs w:val="44"/>
          <w:lang w:eastAsia="zh-CN"/>
        </w:rPr>
        <w:t>生态保护修复方案》</w:t>
      </w:r>
    </w:p>
    <w:p w14:paraId="642F7EA7">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snapToGrid/>
          <w:kern w:val="2"/>
          <w:sz w:val="44"/>
          <w:szCs w:val="44"/>
          <w:lang w:eastAsia="zh-CN"/>
        </w:rPr>
      </w:pPr>
      <w:r>
        <w:rPr>
          <w:rFonts w:hint="eastAsia" w:ascii="方正小标宋简体" w:hAnsi="方正小标宋简体" w:eastAsia="方正小标宋简体" w:cs="方正小标宋简体"/>
          <w:bCs/>
          <w:snapToGrid/>
          <w:kern w:val="2"/>
          <w:sz w:val="44"/>
          <w:szCs w:val="44"/>
          <w:lang w:eastAsia="zh-CN"/>
        </w:rPr>
        <w:t>专家意见</w:t>
      </w:r>
      <w:r>
        <w:rPr>
          <w:rFonts w:hint="eastAsia" w:ascii="方正小标宋简体" w:hAnsi="方正小标宋简体" w:eastAsia="方正小标宋简体" w:cs="方正小标宋简体"/>
          <w:bCs/>
          <w:snapToGrid/>
          <w:kern w:val="2"/>
          <w:sz w:val="44"/>
          <w:szCs w:val="44"/>
          <w:lang w:val="en-US" w:eastAsia="zh-CN"/>
        </w:rPr>
        <w:t>的</w:t>
      </w:r>
      <w:r>
        <w:rPr>
          <w:rFonts w:hint="eastAsia" w:ascii="方正小标宋简体" w:hAnsi="方正小标宋简体" w:eastAsia="方正小标宋简体" w:cs="方正小标宋简体"/>
          <w:bCs/>
          <w:snapToGrid/>
          <w:kern w:val="2"/>
          <w:sz w:val="44"/>
          <w:szCs w:val="44"/>
          <w:lang w:eastAsia="zh-CN"/>
        </w:rPr>
        <w:t>认定</w:t>
      </w:r>
    </w:p>
    <w:p w14:paraId="2C045F6A">
      <w:pPr>
        <w:keepNext w:val="0"/>
        <w:keepLines w:val="0"/>
        <w:pageBreakBefore w:val="0"/>
        <w:wordWrap/>
        <w:overflowPunct/>
        <w:topLinePunct w:val="0"/>
        <w:bidi w:val="0"/>
        <w:spacing w:line="360" w:lineRule="auto"/>
        <w:ind w:firstLine="640"/>
        <w:jc w:val="center"/>
        <w:rPr>
          <w:rFonts w:ascii="宋体" w:hAnsi="宋体" w:eastAsia="宋体" w:cs="宋体"/>
          <w:sz w:val="32"/>
          <w:szCs w:val="32"/>
        </w:rPr>
      </w:pPr>
    </w:p>
    <w:p w14:paraId="6313D2F7">
      <w:pPr>
        <w:ind w:firstLine="640"/>
        <w:jc w:val="center"/>
        <w:rPr>
          <w:rFonts w:ascii="宋体" w:hAnsi="宋体" w:eastAsia="宋体" w:cs="宋体"/>
          <w:sz w:val="32"/>
          <w:szCs w:val="32"/>
        </w:rPr>
      </w:pPr>
    </w:p>
    <w:p w14:paraId="54B1F52E">
      <w:pPr>
        <w:ind w:firstLine="640"/>
        <w:jc w:val="center"/>
        <w:rPr>
          <w:rFonts w:ascii="宋体" w:hAnsi="宋体" w:eastAsia="宋体" w:cs="宋体"/>
          <w:color w:val="auto"/>
          <w:sz w:val="32"/>
          <w:szCs w:val="32"/>
        </w:rPr>
      </w:pPr>
    </w:p>
    <w:p w14:paraId="39936A10">
      <w:pPr>
        <w:spacing w:line="248" w:lineRule="auto"/>
        <w:ind w:firstLine="560"/>
        <w:rPr>
          <w:rFonts w:ascii="宋体" w:hAnsi="宋体" w:eastAsia="宋体" w:cs="宋体"/>
          <w:color w:val="auto"/>
        </w:rPr>
      </w:pPr>
    </w:p>
    <w:p w14:paraId="374476A6">
      <w:pPr>
        <w:spacing w:line="248" w:lineRule="auto"/>
        <w:ind w:firstLine="560"/>
        <w:rPr>
          <w:rFonts w:ascii="宋体" w:hAnsi="宋体" w:eastAsia="宋体" w:cs="宋体"/>
          <w:color w:val="auto"/>
        </w:rPr>
      </w:pPr>
    </w:p>
    <w:p w14:paraId="6F258A11">
      <w:pPr>
        <w:spacing w:line="248" w:lineRule="auto"/>
        <w:ind w:firstLine="560"/>
        <w:rPr>
          <w:rFonts w:ascii="宋体" w:hAnsi="宋体" w:eastAsia="宋体" w:cs="宋体"/>
          <w:color w:val="auto"/>
        </w:rPr>
      </w:pPr>
    </w:p>
    <w:p w14:paraId="0C17D46D">
      <w:pPr>
        <w:spacing w:line="248" w:lineRule="auto"/>
        <w:ind w:firstLine="560"/>
        <w:rPr>
          <w:rFonts w:ascii="宋体" w:hAnsi="宋体" w:eastAsia="宋体" w:cs="宋体"/>
        </w:rPr>
      </w:pPr>
    </w:p>
    <w:p w14:paraId="42BDAF87">
      <w:pPr>
        <w:spacing w:line="248" w:lineRule="auto"/>
        <w:ind w:firstLine="560"/>
        <w:rPr>
          <w:rFonts w:ascii="宋体" w:hAnsi="宋体" w:eastAsia="宋体" w:cs="宋体"/>
        </w:rPr>
      </w:pPr>
    </w:p>
    <w:p w14:paraId="3839E0B9">
      <w:pPr>
        <w:spacing w:line="249" w:lineRule="auto"/>
        <w:ind w:firstLine="560"/>
        <w:rPr>
          <w:rFonts w:ascii="宋体" w:hAnsi="宋体" w:eastAsia="宋体" w:cs="宋体"/>
        </w:rPr>
      </w:pPr>
    </w:p>
    <w:p w14:paraId="4C78B24B">
      <w:pPr>
        <w:spacing w:line="249" w:lineRule="auto"/>
        <w:ind w:left="0" w:leftChars="0" w:firstLine="0" w:firstLineChars="0"/>
        <w:rPr>
          <w:rFonts w:ascii="宋体" w:hAnsi="宋体" w:eastAsia="宋体" w:cs="宋体"/>
        </w:rPr>
      </w:pPr>
    </w:p>
    <w:p w14:paraId="4AC63F8B">
      <w:pPr>
        <w:spacing w:line="249" w:lineRule="auto"/>
        <w:ind w:firstLine="560"/>
        <w:rPr>
          <w:rFonts w:ascii="宋体" w:hAnsi="宋体" w:eastAsia="宋体" w:cs="宋体"/>
        </w:rPr>
      </w:pPr>
    </w:p>
    <w:p w14:paraId="1694CD09">
      <w:pPr>
        <w:spacing w:line="249" w:lineRule="auto"/>
        <w:ind w:firstLine="560"/>
        <w:rPr>
          <w:rFonts w:ascii="宋体" w:hAnsi="宋体" w:eastAsia="宋体" w:cs="宋体"/>
          <w:color w:val="000000" w:themeColor="text1"/>
          <w14:textFill>
            <w14:solidFill>
              <w14:schemeClr w14:val="tx1"/>
            </w14:solidFill>
          </w14:textFill>
        </w:rPr>
      </w:pPr>
    </w:p>
    <w:p w14:paraId="20BECD33">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FCEA344">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548C7B0">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513A76E7">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790AE17F">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FEE24C1">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rPr>
      </w:pPr>
      <w:r>
        <w:rPr>
          <w:rFonts w:hint="eastAsia" w:ascii="黑体" w:hAnsi="黑体" w:eastAsia="黑体" w:cs="Times New Roman"/>
          <w:snapToGrid/>
          <w:kern w:val="2"/>
          <w:sz w:val="32"/>
          <w:szCs w:val="32"/>
          <w:lang w:val="en-US" w:eastAsia="zh-CN"/>
        </w:rPr>
        <w:t>吐鲁番市自然资源局高昌区分局</w:t>
      </w:r>
    </w:p>
    <w:p w14:paraId="322843AE">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31" w:right="1074" w:bottom="1070" w:left="1622" w:header="0" w:footer="875" w:gutter="0"/>
          <w:cols w:space="720" w:num="1"/>
        </w:sectPr>
      </w:pPr>
    </w:p>
    <w:p w14:paraId="4EAB156E">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w:t>
      </w:r>
      <w:r>
        <w:rPr>
          <w:rFonts w:hint="eastAsia" w:ascii="仿宋_GB2312" w:hAnsi="仿宋_GB2312" w:eastAsia="仿宋_GB2312" w:cs="仿宋_GB2312"/>
          <w:spacing w:val="1"/>
          <w:sz w:val="32"/>
          <w:szCs w:val="32"/>
          <w:lang w:eastAsia="zh-CN"/>
        </w:rPr>
        <w:t>吐鲁番市昌顺矿业有限公司</w:t>
      </w:r>
    </w:p>
    <w:p w14:paraId="3BE2C07C">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w:t>
      </w:r>
      <w:r>
        <w:rPr>
          <w:rFonts w:hint="eastAsia" w:ascii="仿宋_GB2312" w:hAnsi="仿宋_GB2312" w:eastAsia="仿宋_GB2312" w:cs="仿宋_GB2312"/>
          <w:spacing w:val="1"/>
          <w:sz w:val="32"/>
          <w:szCs w:val="32"/>
          <w:lang w:eastAsia="zh-CN"/>
        </w:rPr>
        <w:t>新疆兴宇天成测绘地理信息咨询有限公司</w:t>
      </w:r>
    </w:p>
    <w:p w14:paraId="0BECD8E6">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w:t>
      </w:r>
      <w:r>
        <w:rPr>
          <w:rFonts w:hint="eastAsia" w:ascii="仿宋_GB2312" w:hAnsi="仿宋_GB2312" w:eastAsia="仿宋_GB2312" w:cs="仿宋_GB2312"/>
          <w:spacing w:val="1"/>
          <w:sz w:val="32"/>
          <w:szCs w:val="32"/>
          <w:lang w:val="en-US" w:eastAsia="zh-CN"/>
        </w:rPr>
        <w:t>萨浩宇</w:t>
      </w:r>
    </w:p>
    <w:p w14:paraId="49E7E144">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编制人员：</w:t>
      </w:r>
      <w:r>
        <w:rPr>
          <w:rFonts w:hint="eastAsia" w:ascii="仿宋_GB2312" w:hAnsi="仿宋_GB2312" w:eastAsia="仿宋_GB2312" w:cs="仿宋_GB2312"/>
          <w:spacing w:val="1"/>
          <w:sz w:val="32"/>
          <w:szCs w:val="32"/>
          <w:lang w:val="en-US" w:eastAsia="zh-CN"/>
        </w:rPr>
        <w:t>马强  田星 黄江海</w:t>
      </w:r>
    </w:p>
    <w:p w14:paraId="4B60DEEA">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评审专家组长：程学斌</w:t>
      </w:r>
    </w:p>
    <w:p w14:paraId="511F3B8B">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w:t>
      </w:r>
      <w:bookmarkStart w:id="0" w:name="_Hlk91929016"/>
      <w:bookmarkStart w:id="1" w:name="_Hlk100068033"/>
      <w:r>
        <w:rPr>
          <w:rFonts w:hint="eastAsia" w:ascii="仿宋_GB2312" w:hAnsi="仿宋_GB2312" w:eastAsia="仿宋_GB2312" w:cs="仿宋_GB2312"/>
          <w:spacing w:val="1"/>
          <w:sz w:val="32"/>
          <w:szCs w:val="32"/>
          <w:lang w:val="en-US" w:eastAsia="zh-CN"/>
        </w:rPr>
        <w:t>周建成</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sz w:val="32"/>
          <w:szCs w:val="32"/>
          <w:lang w:val="en-US" w:eastAsia="zh-CN"/>
        </w:rPr>
        <w:t>刘湘茹</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sz w:val="32"/>
          <w:szCs w:val="32"/>
          <w:lang w:val="en-US" w:eastAsia="zh-CN"/>
        </w:rPr>
        <w:t>齐万秋</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
          <w:sz w:val="32"/>
          <w:szCs w:val="32"/>
          <w:lang w:val="en-US" w:eastAsia="zh-CN"/>
        </w:rPr>
        <w:t>陈红霞</w:t>
      </w:r>
      <w:r>
        <w:rPr>
          <w:rFonts w:hint="eastAsia" w:ascii="仿宋_GB2312" w:hAnsi="仿宋_GB2312" w:eastAsia="仿宋_GB2312" w:cs="仿宋_GB2312"/>
          <w:spacing w:val="1"/>
          <w:sz w:val="32"/>
          <w:szCs w:val="32"/>
        </w:rPr>
        <w:t xml:space="preserve"> </w:t>
      </w:r>
    </w:p>
    <w:bookmarkEnd w:id="0"/>
    <w:bookmarkEnd w:id="1"/>
    <w:p w14:paraId="4119834E">
      <w:pPr>
        <w:keepNext w:val="0"/>
        <w:keepLines w:val="0"/>
        <w:pageBreakBefore w:val="0"/>
        <w:widowControl/>
        <w:kinsoku w:val="0"/>
        <w:wordWrap/>
        <w:overflowPunct/>
        <w:topLinePunct w:val="0"/>
        <w:autoSpaceDE w:val="0"/>
        <w:autoSpaceDN w:val="0"/>
        <w:bidi w:val="0"/>
        <w:adjustRightInd w:val="0"/>
        <w:snapToGrid w:val="0"/>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认 定 单 位：吐鲁番市自然资源局高昌区分局</w:t>
      </w:r>
    </w:p>
    <w:p w14:paraId="7656309A">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rPr>
        <w:t>评审方式：</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color w:val="auto"/>
          <w:spacing w:val="1"/>
          <w:sz w:val="32"/>
          <w:szCs w:val="32"/>
          <w:highlight w:val="none"/>
        </w:rPr>
        <w:t>会审</w:t>
      </w:r>
    </w:p>
    <w:p w14:paraId="73089F21">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评审时间：202</w:t>
      </w:r>
      <w:r>
        <w:rPr>
          <w:rFonts w:hint="eastAsia" w:ascii="仿宋_GB2312" w:hAnsi="仿宋_GB2312" w:eastAsia="仿宋_GB2312" w:cs="仿宋_GB2312"/>
          <w:color w:val="auto"/>
          <w:spacing w:val="1"/>
          <w:sz w:val="32"/>
          <w:szCs w:val="32"/>
          <w:lang w:val="en-US" w:eastAsia="zh-CN"/>
        </w:rPr>
        <w:t>4</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8</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13</w:t>
      </w:r>
      <w:r>
        <w:rPr>
          <w:rFonts w:hint="eastAsia" w:ascii="仿宋_GB2312" w:hAnsi="仿宋_GB2312" w:eastAsia="仿宋_GB2312" w:cs="仿宋_GB2312"/>
          <w:color w:val="auto"/>
          <w:spacing w:val="1"/>
          <w:sz w:val="32"/>
          <w:szCs w:val="32"/>
        </w:rPr>
        <w:t>日</w:t>
      </w:r>
    </w:p>
    <w:p w14:paraId="2D97E325">
      <w:pPr>
        <w:ind w:firstLine="564"/>
        <w:rPr>
          <w:rFonts w:hint="eastAsia" w:ascii="仿宋_GB2312" w:hAnsi="仿宋_GB2312" w:eastAsia="仿宋_GB2312" w:cs="仿宋_GB2312"/>
          <w:spacing w:val="1"/>
          <w:sz w:val="32"/>
          <w:szCs w:val="32"/>
        </w:rPr>
      </w:pPr>
    </w:p>
    <w:p w14:paraId="068432E6">
      <w:pPr>
        <w:spacing w:line="204" w:lineRule="auto"/>
        <w:ind w:firstLine="560"/>
        <w:rPr>
          <w:rFonts w:hint="eastAsia" w:ascii="仿宋_GB2312" w:hAnsi="仿宋_GB2312" w:eastAsia="仿宋_GB2312" w:cs="仿宋_GB2312"/>
          <w:sz w:val="32"/>
          <w:szCs w:val="32"/>
        </w:rPr>
      </w:pPr>
    </w:p>
    <w:p w14:paraId="17F04602">
      <w:pPr>
        <w:ind w:firstLine="560"/>
        <w:rPr>
          <w:rFonts w:ascii="宋体" w:hAnsi="宋体" w:eastAsia="宋体" w:cs="宋体"/>
        </w:rPr>
        <w:sectPr>
          <w:footerReference r:id="rId11" w:type="default"/>
          <w:pgSz w:w="11907" w:h="16839"/>
          <w:pgMar w:top="1431" w:right="1785" w:bottom="1070" w:left="1661" w:header="0" w:footer="875" w:gutter="0"/>
          <w:pgNumType w:start="1"/>
          <w:cols w:space="720" w:num="1"/>
        </w:sectPr>
      </w:pPr>
    </w:p>
    <w:p w14:paraId="476763F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18D4082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1、矿区范围拐点坐标</w:t>
      </w:r>
      <w:r>
        <w:rPr>
          <w:rFonts w:hint="eastAsia" w:ascii="仿宋_GB2312" w:hAnsi="仿宋_GB2312" w:eastAsia="仿宋_GB2312" w:cs="仿宋_GB2312"/>
          <w:sz w:val="32"/>
          <w:szCs w:val="32"/>
          <w:lang w:eastAsia="zh-CN"/>
        </w:rPr>
        <w:t>（略）</w:t>
      </w:r>
    </w:p>
    <w:p w14:paraId="53E5106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核实报告</w:t>
      </w:r>
      <w:r>
        <w:rPr>
          <w:rFonts w:hint="eastAsia" w:ascii="仿宋_GB2312" w:hAnsi="仿宋_GB2312" w:eastAsia="仿宋_GB2312" w:cs="仿宋_GB2312"/>
          <w:sz w:val="32"/>
          <w:szCs w:val="32"/>
        </w:rPr>
        <w:t>估算标高为：</w:t>
      </w:r>
      <w:r>
        <w:rPr>
          <w:rFonts w:hint="eastAsia" w:ascii="仿宋_GB2312" w:hAnsi="仿宋_GB2312" w:eastAsia="仿宋_GB2312" w:cs="仿宋_GB2312"/>
          <w:sz w:val="32"/>
          <w:szCs w:val="32"/>
          <w:lang w:val="en-US" w:eastAsia="zh-CN"/>
        </w:rPr>
        <w:t>+501.6米～489米</w:t>
      </w:r>
      <w:r>
        <w:rPr>
          <w:rFonts w:hint="eastAsia" w:ascii="仿宋_GB2312" w:hAnsi="仿宋_GB2312" w:eastAsia="仿宋_GB2312" w:cs="仿宋_GB2312"/>
          <w:sz w:val="32"/>
          <w:szCs w:val="32"/>
        </w:rPr>
        <w:t>。</w:t>
      </w:r>
    </w:p>
    <w:p w14:paraId="4CE09CD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3、矿区范围内地表最高标高：</w:t>
      </w:r>
      <w:r>
        <w:rPr>
          <w:rFonts w:hint="eastAsia" w:ascii="仿宋_GB2312" w:hAnsi="仿宋_GB2312" w:eastAsia="仿宋_GB2312" w:cs="仿宋_GB2312"/>
          <w:sz w:val="32"/>
          <w:szCs w:val="32"/>
          <w:lang w:val="en-US" w:eastAsia="zh-CN"/>
        </w:rPr>
        <w:t>+501.6</w:t>
      </w:r>
      <w:r>
        <w:rPr>
          <w:rFonts w:hint="eastAsia" w:ascii="仿宋_GB2312" w:hAnsi="仿宋_GB2312" w:eastAsia="仿宋_GB2312" w:cs="仿宋_GB2312"/>
          <w:sz w:val="32"/>
          <w:szCs w:val="32"/>
        </w:rPr>
        <w:t>米。</w:t>
      </w:r>
    </w:p>
    <w:p w14:paraId="5608DC7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4、设计生产规模为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立方米</w:t>
      </w:r>
      <w:r>
        <w:rPr>
          <w:rFonts w:hint="eastAsia" w:ascii="仿宋_GB2312" w:hAnsi="仿宋_GB2312" w:eastAsia="仿宋_GB2312" w:cs="仿宋_GB2312"/>
          <w:color w:val="000000" w:themeColor="text1"/>
          <w:sz w:val="32"/>
          <w:szCs w:val="32"/>
          <w14:textFill>
            <w14:solidFill>
              <w14:schemeClr w14:val="tx1"/>
            </w14:solidFill>
          </w14:textFill>
        </w:rPr>
        <w:t>/年。</w:t>
      </w:r>
    </w:p>
    <w:p w14:paraId="6C9126B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sz w:val="32"/>
          <w:szCs w:val="32"/>
        </w:rPr>
        <w:t>开采矿种：建筑用砂矿</w:t>
      </w:r>
    </w:p>
    <w:p w14:paraId="08F28F1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6、开采服务年限：</w:t>
      </w:r>
      <w:r>
        <w:rPr>
          <w:rFonts w:hint="eastAsia" w:ascii="仿宋_GB2312" w:hAnsi="仿宋_GB2312" w:eastAsia="仿宋_GB2312" w:cs="仿宋_GB2312"/>
          <w:sz w:val="32"/>
          <w:szCs w:val="32"/>
          <w:lang w:val="en-US" w:eastAsia="zh-CN"/>
        </w:rPr>
        <w:t>8.43年（8年6个月）</w:t>
      </w:r>
      <w:r>
        <w:rPr>
          <w:rFonts w:hint="eastAsia" w:ascii="仿宋_GB2312" w:hAnsi="仿宋_GB2312" w:eastAsia="仿宋_GB2312" w:cs="仿宋_GB2312"/>
          <w:color w:val="000000" w:themeColor="text1"/>
          <w:sz w:val="32"/>
          <w:szCs w:val="32"/>
          <w14:textFill>
            <w14:solidFill>
              <w14:schemeClr w14:val="tx1"/>
            </w14:solidFill>
          </w14:textFill>
        </w:rPr>
        <w:t>。</w:t>
      </w:r>
    </w:p>
    <w:p w14:paraId="58E956E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7、开采方式与开拓方案：露天台阶式开采方式，</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rPr>
        <w:t>运输方案。</w:t>
      </w:r>
    </w:p>
    <w:p w14:paraId="2A27887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8、采矿方法：自上而下、水平分层组合台阶式开采。</w:t>
      </w:r>
    </w:p>
    <w:p w14:paraId="3A98511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9、设计回采率9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7FCC20F7">
      <w:pPr>
        <w:pStyle w:val="17"/>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10、矿山在实际采选开发生产建设活动中，要以正式设计单位编制并审核通过的采选等设计为准执行。</w:t>
      </w:r>
    </w:p>
    <w:p w14:paraId="536A81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吐鲁番市昌顺矿业有限公司葡萄沟北侧2号建筑用砂矿</w:t>
      </w:r>
      <w:r>
        <w:rPr>
          <w:rFonts w:hint="eastAsia" w:ascii="仿宋_GB2312" w:hAnsi="仿宋_GB2312" w:eastAsia="仿宋_GB2312" w:cs="仿宋_GB2312"/>
          <w:sz w:val="32"/>
          <w:szCs w:val="32"/>
        </w:rPr>
        <w:t>矿产资源开发利用与生态保护修复方案》专家审查意见</w:t>
      </w:r>
    </w:p>
    <w:p w14:paraId="5FB1EB9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送：</w:t>
      </w:r>
      <w:r>
        <w:rPr>
          <w:rFonts w:hint="eastAsia" w:ascii="仿宋_GB2312" w:hAnsi="仿宋_GB2312" w:eastAsia="仿宋_GB2312" w:cs="仿宋_GB2312"/>
          <w:sz w:val="32"/>
          <w:szCs w:val="32"/>
          <w:lang w:eastAsia="zh-CN"/>
        </w:rPr>
        <w:t>吐鲁番市昌顺矿业有限公司</w:t>
      </w:r>
    </w:p>
    <w:p w14:paraId="73FCE9E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抄  送：</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自然资源局</w:t>
      </w:r>
    </w:p>
    <w:p w14:paraId="1DE972B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  数：12份</w:t>
      </w:r>
    </w:p>
    <w:p w14:paraId="0C55CCA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textAlignment w:val="baseline"/>
        <w:rPr>
          <w:rFonts w:hint="eastAsia" w:ascii="仿宋_GB2312" w:hAnsi="仿宋_GB2312" w:eastAsia="仿宋_GB2312" w:cs="仿宋_GB2312"/>
          <w:color w:val="FF0000"/>
          <w:sz w:val="28"/>
          <w:szCs w:val="28"/>
        </w:rPr>
        <w:sectPr>
          <w:footerReference r:id="rId12" w:type="default"/>
          <w:pgSz w:w="12240" w:h="15840"/>
          <w:pgMar w:top="1440" w:right="1800" w:bottom="1440" w:left="1800" w:header="720" w:footer="720" w:gutter="0"/>
          <w:cols w:space="720" w:num="1"/>
        </w:sectPr>
      </w:pPr>
    </w:p>
    <w:p w14:paraId="7D17E3D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大标宋简体" w:hAnsi="方正大标宋简体" w:eastAsia="方正大标宋简体" w:cs="方正大标宋简体"/>
          <w:color w:val="auto"/>
          <w:spacing w:val="1"/>
          <w:sz w:val="28"/>
          <w:szCs w:val="28"/>
        </w:rPr>
      </w:pPr>
      <w:r>
        <w:rPr>
          <w:rFonts w:hint="eastAsia" w:ascii="方正大标宋简体" w:hAnsi="方正大标宋简体" w:eastAsia="方正大标宋简体" w:cs="方正大标宋简体"/>
          <w:b/>
          <w:sz w:val="28"/>
          <w:szCs w:val="28"/>
        </w:rPr>
        <w:t>《</w:t>
      </w:r>
      <w:r>
        <w:rPr>
          <w:rFonts w:hint="eastAsia" w:ascii="方正大标宋简体" w:hAnsi="方正大标宋简体" w:eastAsia="方正大标宋简体" w:cs="方正大标宋简体"/>
          <w:b/>
          <w:sz w:val="28"/>
          <w:szCs w:val="28"/>
          <w:lang w:eastAsia="zh-CN"/>
        </w:rPr>
        <w:t>吐鲁番市昌顺矿业有限公司葡萄沟北侧2号建筑用砂矿</w:t>
      </w:r>
      <w:r>
        <w:rPr>
          <w:rFonts w:hint="eastAsia" w:ascii="方正大标宋简体" w:hAnsi="方正大标宋简体" w:eastAsia="方正大标宋简体" w:cs="方正大标宋简体"/>
          <w:b/>
          <w:sz w:val="28"/>
          <w:szCs w:val="28"/>
        </w:rPr>
        <w:t>矿产资源开发利用与生态保护修复方案》专家审查意见</w:t>
      </w:r>
    </w:p>
    <w:p w14:paraId="30C0609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textAlignment w:val="baseline"/>
        <w:rPr>
          <w:rFonts w:hint="eastAsia" w:ascii="仿宋_GB2312" w:hAnsi="仿宋_GB2312" w:eastAsia="仿宋_GB2312" w:cs="仿宋_GB2312"/>
          <w:color w:val="auto"/>
          <w:sz w:val="28"/>
          <w:szCs w:val="28"/>
        </w:rPr>
      </w:pPr>
      <w:bookmarkStart w:id="2" w:name="_Hlk100067958"/>
    </w:p>
    <w:p w14:paraId="04C2505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吐鲁番市昌顺矿业有限公司葡萄沟北侧2号建筑用砂矿</w:t>
      </w:r>
      <w:r>
        <w:rPr>
          <w:rFonts w:hint="eastAsia" w:ascii="仿宋_GB2312" w:hAnsi="仿宋_GB2312" w:eastAsia="仿宋_GB2312" w:cs="仿宋_GB2312"/>
          <w:color w:val="auto"/>
          <w:sz w:val="28"/>
          <w:szCs w:val="28"/>
        </w:rPr>
        <w:t>矿产资源开发利用与生态保护修复方案》</w:t>
      </w:r>
      <w:bookmarkEnd w:id="2"/>
      <w:r>
        <w:rPr>
          <w:rFonts w:hint="eastAsia" w:ascii="仿宋_GB2312" w:hAnsi="仿宋_GB2312" w:eastAsia="仿宋_GB2312" w:cs="仿宋_GB2312"/>
          <w:color w:val="auto"/>
          <w:sz w:val="28"/>
          <w:szCs w:val="28"/>
        </w:rPr>
        <w:t>（以下简称</w:t>
      </w:r>
      <w:bookmarkStart w:id="3" w:name="_Hlk91835451"/>
      <w:r>
        <w:rPr>
          <w:rFonts w:hint="eastAsia" w:ascii="仿宋_GB2312" w:hAnsi="仿宋_GB2312" w:eastAsia="仿宋_GB2312" w:cs="仿宋_GB2312"/>
          <w:color w:val="auto"/>
          <w:sz w:val="28"/>
          <w:szCs w:val="28"/>
        </w:rPr>
        <w:t>《方案》</w:t>
      </w:r>
      <w:bookmarkEnd w:id="3"/>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新疆兴宇天成测绘地理信息咨询有限公司</w:t>
      </w:r>
      <w:r>
        <w:rPr>
          <w:rFonts w:hint="eastAsia" w:ascii="仿宋_GB2312" w:hAnsi="仿宋_GB2312" w:eastAsia="仿宋_GB2312" w:cs="仿宋_GB2312"/>
          <w:color w:val="auto"/>
          <w:sz w:val="28"/>
          <w:szCs w:val="28"/>
        </w:rPr>
        <w:t>编制完成。</w:t>
      </w:r>
      <w:bookmarkStart w:id="4" w:name="_Hlk44344406"/>
      <w:r>
        <w:rPr>
          <w:rFonts w:hint="eastAsia" w:ascii="仿宋_GB2312" w:hAnsi="仿宋_GB2312" w:eastAsia="仿宋_GB2312" w:cs="仿宋_GB2312"/>
          <w:sz w:val="28"/>
          <w:szCs w:val="28"/>
          <w:lang w:val="en-US" w:eastAsia="zh-CN"/>
        </w:rPr>
        <w:t>吐鲁番市自然资源局高昌区分局</w:t>
      </w:r>
      <w:r>
        <w:rPr>
          <w:rFonts w:hint="eastAsia" w:ascii="仿宋_GB2312" w:hAnsi="仿宋_GB2312" w:eastAsia="仿宋_GB2312" w:cs="仿宋_GB2312"/>
          <w:sz w:val="28"/>
          <w:szCs w:val="28"/>
        </w:rPr>
        <w:t>委托</w:t>
      </w:r>
      <w:bookmarkEnd w:id="4"/>
      <w:r>
        <w:rPr>
          <w:rFonts w:hint="eastAsia" w:ascii="仿宋_GB2312" w:hAnsi="仿宋_GB2312" w:eastAsia="仿宋_GB2312" w:cs="仿宋_GB2312"/>
          <w:sz w:val="28"/>
          <w:szCs w:val="28"/>
        </w:rPr>
        <w:t>新疆维吾尔自治区地质学会组织有关专家对该《方案》进行</w:t>
      </w:r>
      <w:r>
        <w:rPr>
          <w:rFonts w:hint="eastAsia" w:ascii="仿宋_GB2312" w:hAnsi="仿宋_GB2312" w:eastAsia="仿宋_GB2312" w:cs="仿宋_GB2312"/>
          <w:color w:val="auto"/>
          <w:spacing w:val="1"/>
          <w:sz w:val="28"/>
          <w:szCs w:val="28"/>
          <w:highlight w:val="none"/>
          <w:lang w:val="en-US" w:eastAsia="zh-CN"/>
        </w:rPr>
        <w:t>线上</w:t>
      </w:r>
      <w:r>
        <w:rPr>
          <w:rFonts w:hint="eastAsia" w:ascii="仿宋_GB2312" w:hAnsi="仿宋_GB2312" w:eastAsia="仿宋_GB2312" w:cs="仿宋_GB2312"/>
          <w:sz w:val="28"/>
          <w:szCs w:val="28"/>
        </w:rPr>
        <w:t>会审</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1"/>
          <w:sz w:val="28"/>
          <w:szCs w:val="28"/>
        </w:rPr>
        <w:t>202</w:t>
      </w:r>
      <w:r>
        <w:rPr>
          <w:rFonts w:hint="eastAsia" w:ascii="仿宋_GB2312" w:hAnsi="仿宋_GB2312" w:eastAsia="仿宋_GB2312" w:cs="仿宋_GB2312"/>
          <w:color w:val="auto"/>
          <w:spacing w:val="1"/>
          <w:sz w:val="28"/>
          <w:szCs w:val="28"/>
          <w:lang w:val="en-US" w:eastAsia="zh-CN"/>
        </w:rPr>
        <w:t>4</w:t>
      </w:r>
      <w:r>
        <w:rPr>
          <w:rFonts w:hint="eastAsia" w:ascii="仿宋_GB2312" w:hAnsi="仿宋_GB2312" w:eastAsia="仿宋_GB2312" w:cs="仿宋_GB2312"/>
          <w:color w:val="auto"/>
          <w:spacing w:val="1"/>
          <w:sz w:val="28"/>
          <w:szCs w:val="28"/>
        </w:rPr>
        <w:t>年</w:t>
      </w:r>
      <w:r>
        <w:rPr>
          <w:rFonts w:hint="eastAsia" w:ascii="仿宋_GB2312" w:hAnsi="仿宋_GB2312" w:eastAsia="仿宋_GB2312" w:cs="仿宋_GB2312"/>
          <w:color w:val="auto"/>
          <w:spacing w:val="1"/>
          <w:sz w:val="28"/>
          <w:szCs w:val="28"/>
          <w:lang w:val="en-US" w:eastAsia="zh-CN"/>
        </w:rPr>
        <w:t>8</w:t>
      </w:r>
      <w:r>
        <w:rPr>
          <w:rFonts w:hint="eastAsia" w:ascii="仿宋_GB2312" w:hAnsi="仿宋_GB2312" w:eastAsia="仿宋_GB2312" w:cs="仿宋_GB2312"/>
          <w:color w:val="auto"/>
          <w:spacing w:val="1"/>
          <w:sz w:val="28"/>
          <w:szCs w:val="28"/>
        </w:rPr>
        <w:t>月</w:t>
      </w:r>
      <w:r>
        <w:rPr>
          <w:rFonts w:hint="eastAsia" w:ascii="仿宋_GB2312" w:hAnsi="仿宋_GB2312" w:eastAsia="仿宋_GB2312" w:cs="仿宋_GB2312"/>
          <w:color w:val="auto"/>
          <w:spacing w:val="1"/>
          <w:sz w:val="28"/>
          <w:szCs w:val="28"/>
          <w:lang w:val="en-US" w:eastAsia="zh-CN"/>
        </w:rPr>
        <w:t>13</w:t>
      </w:r>
      <w:r>
        <w:rPr>
          <w:rFonts w:hint="eastAsia" w:ascii="仿宋_GB2312" w:hAnsi="仿宋_GB2312" w:eastAsia="仿宋_GB2312" w:cs="仿宋_GB2312"/>
          <w:color w:val="auto"/>
          <w:spacing w:val="1"/>
          <w:sz w:val="28"/>
          <w:szCs w:val="28"/>
        </w:rPr>
        <w:t>日，地质学会聘请了地质、采矿、选矿、经济、地环、土地复</w:t>
      </w:r>
      <w:r>
        <w:rPr>
          <w:rFonts w:hint="eastAsia" w:ascii="仿宋_GB2312" w:hAnsi="仿宋_GB2312" w:eastAsia="仿宋_GB2312" w:cs="仿宋_GB2312"/>
          <w:spacing w:val="1"/>
          <w:sz w:val="28"/>
          <w:szCs w:val="28"/>
        </w:rPr>
        <w:t>垦等专业的专家组成专家组</w:t>
      </w:r>
      <w:r>
        <w:rPr>
          <w:rFonts w:hint="eastAsia" w:ascii="仿宋_GB2312" w:hAnsi="仿宋_GB2312" w:eastAsia="仿宋_GB2312" w:cs="仿宋_GB2312"/>
          <w:color w:val="auto"/>
          <w:spacing w:val="1"/>
          <w:sz w:val="28"/>
          <w:szCs w:val="28"/>
        </w:rPr>
        <w:t>（名单附后）在</w:t>
      </w:r>
      <w:r>
        <w:rPr>
          <w:rFonts w:hint="eastAsia" w:ascii="仿宋_GB2312" w:hAnsi="仿宋_GB2312" w:eastAsia="仿宋_GB2312" w:cs="仿宋_GB2312"/>
          <w:color w:val="auto"/>
          <w:spacing w:val="1"/>
          <w:sz w:val="28"/>
          <w:szCs w:val="28"/>
          <w:lang w:val="en-US" w:eastAsia="zh-CN"/>
        </w:rPr>
        <w:t>腾讯会议</w:t>
      </w:r>
      <w:r>
        <w:rPr>
          <w:rFonts w:hint="eastAsia" w:ascii="仿宋_GB2312" w:hAnsi="仿宋_GB2312" w:eastAsia="仿宋_GB2312" w:cs="仿宋_GB2312"/>
          <w:color w:val="auto"/>
          <w:spacing w:val="1"/>
          <w:sz w:val="28"/>
          <w:szCs w:val="28"/>
        </w:rPr>
        <w:t>进行了</w:t>
      </w:r>
      <w:r>
        <w:rPr>
          <w:rFonts w:hint="eastAsia" w:ascii="仿宋_GB2312" w:hAnsi="仿宋_GB2312" w:eastAsia="仿宋_GB2312" w:cs="仿宋_GB2312"/>
          <w:color w:val="auto"/>
          <w:spacing w:val="1"/>
          <w:sz w:val="28"/>
          <w:szCs w:val="28"/>
          <w:lang w:val="en-US" w:eastAsia="zh-CN"/>
        </w:rPr>
        <w:t>线上</w:t>
      </w:r>
      <w:r>
        <w:rPr>
          <w:rFonts w:hint="eastAsia" w:ascii="仿宋_GB2312" w:hAnsi="仿宋_GB2312" w:eastAsia="仿宋_GB2312" w:cs="仿宋_GB2312"/>
          <w:color w:val="auto"/>
          <w:spacing w:val="1"/>
          <w:sz w:val="28"/>
          <w:szCs w:val="28"/>
        </w:rPr>
        <w:t>会审。该《</w:t>
      </w:r>
      <w:r>
        <w:rPr>
          <w:rFonts w:hint="eastAsia" w:ascii="仿宋_GB2312" w:hAnsi="仿宋_GB2312" w:eastAsia="仿宋_GB2312" w:cs="仿宋_GB2312"/>
          <w:spacing w:val="1"/>
          <w:sz w:val="28"/>
          <w:szCs w:val="28"/>
        </w:rPr>
        <w:t>方案》经专家组充分讨论和评议，提出了修改意见。会后，编制单位对《方案》进行修改完善，经专家组复核，《方案》符合规范要求，现形成评审意见如下：</w:t>
      </w:r>
    </w:p>
    <w:p w14:paraId="7A52F58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38"/>
        <w:jc w:val="left"/>
        <w:textAlignment w:val="baseline"/>
        <w:outlineLvl w:val="0"/>
        <w:rPr>
          <w:rFonts w:hint="eastAsia" w:ascii="黑体" w:hAnsi="黑体" w:eastAsia="黑体" w:cs="黑体"/>
          <w:b w:val="0"/>
          <w:bCs w:val="0"/>
          <w:color w:val="auto"/>
          <w:spacing w:val="-3"/>
          <w:sz w:val="28"/>
          <w:szCs w:val="28"/>
        </w:rPr>
      </w:pPr>
      <w:r>
        <w:rPr>
          <w:rFonts w:hint="eastAsia" w:ascii="黑体" w:hAnsi="黑体" w:eastAsia="黑体" w:cs="黑体"/>
          <w:b w:val="0"/>
          <w:bCs w:val="0"/>
          <w:color w:val="auto"/>
          <w:spacing w:val="-6"/>
          <w:sz w:val="28"/>
          <w:szCs w:val="28"/>
        </w:rPr>
        <w:t>一、采矿权基本情况及编制目的</w:t>
      </w:r>
    </w:p>
    <w:p w14:paraId="1F64163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吐鲁番市昌顺矿业有限公司葡萄沟北侧2号建筑用砂矿隶属于吐鲁番市昌顺矿业有限公司，本矿山属于</w:t>
      </w:r>
      <w:r>
        <w:rPr>
          <w:rFonts w:hint="eastAsia" w:ascii="仿宋_GB2312" w:hAnsi="仿宋_GB2312" w:eastAsia="仿宋_GB2312" w:cs="仿宋_GB2312"/>
          <w:color w:val="auto"/>
          <w:sz w:val="28"/>
          <w:szCs w:val="28"/>
          <w:lang w:val="en-US" w:eastAsia="zh-CN"/>
        </w:rPr>
        <w:t>延续</w:t>
      </w:r>
      <w:r>
        <w:rPr>
          <w:rFonts w:hint="eastAsia" w:ascii="仿宋_GB2312" w:hAnsi="仿宋_GB2312" w:eastAsia="仿宋_GB2312" w:cs="仿宋_GB2312"/>
          <w:color w:val="auto"/>
          <w:sz w:val="28"/>
          <w:szCs w:val="28"/>
          <w:lang w:eastAsia="zh-CN"/>
        </w:rPr>
        <w:t>矿山，吐鲁番市昌顺矿业有限公司通过招拍挂取得的采矿权，矿区由</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个坐标拐点组成，面积0.1678平方千米。开采矿种为建筑用砂矿，露天开采方式，开采标高：</w:t>
      </w:r>
      <w:r>
        <w:rPr>
          <w:rFonts w:hint="eastAsia" w:ascii="仿宋_GB2312" w:hAnsi="仿宋_GB2312" w:eastAsia="仿宋_GB2312" w:cs="仿宋_GB2312"/>
          <w:color w:val="auto"/>
          <w:sz w:val="28"/>
          <w:szCs w:val="28"/>
          <w:lang w:val="en-US" w:eastAsia="zh-CN"/>
        </w:rPr>
        <w:t>+501.6米～489米</w:t>
      </w:r>
      <w:r>
        <w:rPr>
          <w:rFonts w:hint="eastAsia" w:ascii="仿宋_GB2312" w:hAnsi="仿宋_GB2312" w:eastAsia="仿宋_GB2312" w:cs="仿宋_GB2312"/>
          <w:color w:val="auto"/>
          <w:sz w:val="28"/>
          <w:szCs w:val="28"/>
          <w:lang w:eastAsia="zh-CN"/>
        </w:rPr>
        <w:t>，生产规模为</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万</w:t>
      </w:r>
      <w:r>
        <w:rPr>
          <w:rFonts w:hint="eastAsia" w:ascii="仿宋_GB2312" w:hAnsi="仿宋_GB2312" w:eastAsia="仿宋_GB2312" w:cs="仿宋_GB2312"/>
          <w:color w:val="auto"/>
          <w:sz w:val="28"/>
          <w:szCs w:val="28"/>
          <w:lang w:val="en-US" w:eastAsia="zh-CN"/>
        </w:rPr>
        <w:t>立方米</w:t>
      </w:r>
      <w:r>
        <w:rPr>
          <w:rFonts w:hint="eastAsia" w:ascii="仿宋_GB2312" w:hAnsi="仿宋_GB2312" w:eastAsia="仿宋_GB2312" w:cs="仿宋_GB2312"/>
          <w:color w:val="auto"/>
          <w:sz w:val="28"/>
          <w:szCs w:val="28"/>
          <w:lang w:eastAsia="zh-CN"/>
        </w:rPr>
        <w:t>/年。</w:t>
      </w:r>
    </w:p>
    <w:p w14:paraId="2852646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szCs w:val="28"/>
        </w:rPr>
      </w:pPr>
      <w:r>
        <w:rPr>
          <w:rFonts w:hint="eastAsia" w:ascii="仿宋_GB2312" w:hAnsi="仿宋_GB2312" w:eastAsia="仿宋_GB2312" w:cs="仿宋_GB2312"/>
          <w:color w:val="auto"/>
          <w:sz w:val="28"/>
          <w:szCs w:val="28"/>
          <w:lang w:eastAsia="zh-CN"/>
        </w:rPr>
        <w:t>本次设计编制</w:t>
      </w:r>
      <w:bookmarkStart w:id="5" w:name="_Hlk91836438"/>
      <w:r>
        <w:rPr>
          <w:rFonts w:hint="eastAsia" w:ascii="仿宋_GB2312" w:hAnsi="仿宋_GB2312" w:eastAsia="仿宋_GB2312" w:cs="仿宋_GB2312"/>
          <w:color w:val="auto"/>
          <w:sz w:val="28"/>
          <w:szCs w:val="28"/>
          <w:lang w:eastAsia="zh-CN"/>
        </w:rPr>
        <w:t>《方案》的</w:t>
      </w:r>
      <w:bookmarkEnd w:id="5"/>
      <w:r>
        <w:rPr>
          <w:rFonts w:hint="eastAsia" w:ascii="仿宋_GB2312" w:hAnsi="仿宋_GB2312" w:eastAsia="仿宋_GB2312" w:cs="仿宋_GB2312"/>
          <w:color w:val="auto"/>
          <w:sz w:val="28"/>
          <w:szCs w:val="28"/>
          <w:lang w:eastAsia="zh-CN"/>
        </w:rPr>
        <w:t>目的：为</w:t>
      </w:r>
      <w:r>
        <w:rPr>
          <w:rFonts w:hint="eastAsia" w:ascii="仿宋_GB2312" w:hAnsi="仿宋_GB2312" w:eastAsia="仿宋_GB2312" w:cs="仿宋_GB2312"/>
          <w:color w:val="auto"/>
          <w:sz w:val="28"/>
          <w:szCs w:val="28"/>
          <w:lang w:val="en-US" w:eastAsia="zh-CN"/>
        </w:rPr>
        <w:t>办理采矿许可证</w:t>
      </w:r>
      <w:r>
        <w:rPr>
          <w:rFonts w:hint="eastAsia" w:ascii="仿宋_GB2312" w:hAnsi="仿宋_GB2312" w:eastAsia="仿宋_GB2312" w:cs="仿宋_GB2312"/>
          <w:color w:val="auto"/>
          <w:sz w:val="28"/>
          <w:szCs w:val="28"/>
          <w:lang w:eastAsia="zh-CN"/>
        </w:rPr>
        <w:t>；为本矿山的采矿权出让收益评估、矿产资源开发利用、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7ADBA3E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38"/>
        <w:jc w:val="left"/>
        <w:textAlignment w:val="baseline"/>
        <w:outlineLvl w:val="0"/>
        <w:rPr>
          <w:rFonts w:hint="eastAsia" w:ascii="黑体" w:hAnsi="黑体" w:eastAsia="黑体" w:cs="黑体"/>
          <w:b w:val="0"/>
          <w:bCs w:val="0"/>
          <w:color w:val="auto"/>
          <w:spacing w:val="-6"/>
          <w:szCs w:val="28"/>
        </w:rPr>
      </w:pPr>
      <w:r>
        <w:rPr>
          <w:rFonts w:hint="eastAsia" w:ascii="黑体" w:hAnsi="黑体" w:eastAsia="黑体" w:cs="黑体"/>
          <w:b w:val="0"/>
          <w:bCs w:val="0"/>
          <w:color w:val="auto"/>
          <w:spacing w:val="-6"/>
          <w:szCs w:val="28"/>
        </w:rPr>
        <w:t>二、资源储量转换及其评述</w:t>
      </w:r>
    </w:p>
    <w:p w14:paraId="1A443AAF">
      <w:pPr>
        <w:pStyle w:val="17"/>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56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（一）设计利用资源量</w:t>
      </w:r>
    </w:p>
    <w:p w14:paraId="25887F8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根据《吐鲁番市昌顺矿业有限公司葡萄沟北侧2号建筑用砂矿资源储量核实报告》矿产资源储量评审意见书（</w:t>
      </w:r>
      <w:r>
        <w:rPr>
          <w:rFonts w:hint="eastAsia" w:ascii="仿宋_GB2312" w:hAnsi="仿宋_GB2312" w:eastAsia="仿宋_GB2312" w:cs="仿宋_GB2312"/>
          <w:color w:val="auto"/>
          <w:sz w:val="28"/>
          <w:szCs w:val="28"/>
          <w:lang w:val="en-US" w:eastAsia="zh-CN"/>
        </w:rPr>
        <w:t>吐市高区自然资储评〔2024〕1号</w:t>
      </w:r>
      <w:r>
        <w:rPr>
          <w:rFonts w:hint="eastAsia" w:ascii="仿宋_GB2312" w:hAnsi="仿宋_GB2312" w:eastAsia="仿宋_GB2312" w:cs="仿宋_GB2312"/>
          <w:color w:val="auto"/>
          <w:sz w:val="28"/>
          <w:szCs w:val="28"/>
          <w:lang w:eastAsia="zh-CN"/>
        </w:rPr>
        <w:t>），截止时间为202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lang w:eastAsia="zh-CN"/>
        </w:rPr>
        <w:t>日，矿区范围内查明：推断资源量</w:t>
      </w:r>
      <w:r>
        <w:rPr>
          <w:rFonts w:hint="eastAsia" w:ascii="仿宋_GB2312" w:hAnsi="仿宋_GB2312" w:eastAsia="仿宋_GB2312" w:cs="仿宋_GB2312"/>
          <w:color w:val="auto"/>
          <w:sz w:val="28"/>
          <w:szCs w:val="28"/>
          <w:lang w:val="en-US" w:eastAsia="zh-CN"/>
        </w:rPr>
        <w:t>51.60</w:t>
      </w:r>
      <w:r>
        <w:rPr>
          <w:rFonts w:hint="eastAsia" w:ascii="仿宋_GB2312" w:hAnsi="仿宋_GB2312" w:eastAsia="仿宋_GB2312" w:cs="仿宋_GB2312"/>
          <w:color w:val="auto"/>
          <w:sz w:val="28"/>
          <w:szCs w:val="28"/>
          <w:lang w:eastAsia="zh-CN"/>
        </w:rPr>
        <w:t>万立方米。</w:t>
      </w:r>
    </w:p>
    <w:p w14:paraId="47E8673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确定本次方案设计利用的资源量为矿区范围内截至202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lang w:eastAsia="zh-CN"/>
        </w:rPr>
        <w:t>日经评审备案的全部保有资源量。</w:t>
      </w:r>
    </w:p>
    <w:p w14:paraId="02A90EE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楷体" w:hAnsi="楷体" w:eastAsia="楷体" w:cs="楷体"/>
          <w:b/>
          <w:bCs/>
          <w:color w:val="auto"/>
          <w:szCs w:val="28"/>
        </w:rPr>
      </w:pPr>
      <w:r>
        <w:rPr>
          <w:rFonts w:hint="eastAsia" w:ascii="楷体" w:hAnsi="楷体" w:eastAsia="楷体" w:cs="楷体"/>
          <w:b/>
          <w:bCs/>
          <w:color w:val="auto"/>
          <w:szCs w:val="28"/>
        </w:rPr>
        <w:t>（二）可采资源储量</w:t>
      </w:r>
    </w:p>
    <w:p w14:paraId="6E1618A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按照矿区范围，根据矿体赋存情况、地形条件、选取合理的开采境界参数圈定开采境界，矿区范围内共圈定</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个开采境界。开采境界内（推断资源量）：矿石资源量为</w:t>
      </w:r>
      <w:r>
        <w:rPr>
          <w:rFonts w:hint="eastAsia" w:ascii="仿宋_GB2312" w:hAnsi="仿宋_GB2312" w:eastAsia="仿宋_GB2312" w:cs="仿宋_GB2312"/>
          <w:color w:val="auto"/>
          <w:sz w:val="28"/>
          <w:szCs w:val="28"/>
          <w:lang w:val="en-US" w:eastAsia="zh-CN"/>
        </w:rPr>
        <w:t>51.60</w:t>
      </w:r>
      <w:r>
        <w:rPr>
          <w:rFonts w:hint="eastAsia" w:ascii="仿宋_GB2312" w:hAnsi="仿宋_GB2312" w:eastAsia="仿宋_GB2312" w:cs="仿宋_GB2312"/>
          <w:color w:val="auto"/>
          <w:sz w:val="28"/>
          <w:szCs w:val="28"/>
          <w:lang w:eastAsia="zh-CN"/>
        </w:rPr>
        <w:t>万m³。</w:t>
      </w:r>
    </w:p>
    <w:p w14:paraId="68B4A7E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矿区范围内可采资源量为：矿石量</w:t>
      </w:r>
      <w:r>
        <w:rPr>
          <w:rFonts w:hint="eastAsia" w:ascii="仿宋_GB2312" w:hAnsi="仿宋_GB2312" w:eastAsia="仿宋_GB2312" w:cs="仿宋_GB2312"/>
          <w:color w:val="auto"/>
          <w:sz w:val="28"/>
          <w:szCs w:val="28"/>
          <w:lang w:val="en-US" w:eastAsia="zh-CN"/>
        </w:rPr>
        <w:t>50.57</w:t>
      </w:r>
      <w:r>
        <w:rPr>
          <w:rFonts w:hint="eastAsia" w:ascii="仿宋_GB2312" w:hAnsi="仿宋_GB2312" w:eastAsia="仿宋_GB2312" w:cs="仿宋_GB2312"/>
          <w:color w:val="auto"/>
          <w:sz w:val="28"/>
          <w:szCs w:val="28"/>
          <w:lang w:eastAsia="zh-CN"/>
        </w:rPr>
        <w:t>万m³</w:t>
      </w:r>
      <w:r>
        <w:rPr>
          <w:rFonts w:hint="eastAsia" w:ascii="仿宋_GB2312" w:hAnsi="仿宋_GB2312" w:eastAsia="仿宋_GB2312" w:cs="仿宋_GB2312"/>
          <w:color w:val="auto"/>
          <w:sz w:val="28"/>
          <w:szCs w:val="28"/>
          <w:lang w:val="en-US" w:eastAsia="zh-CN"/>
        </w:rPr>
        <w:t>。</w:t>
      </w:r>
    </w:p>
    <w:p w14:paraId="74A14EF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楷体" w:hAnsi="楷体" w:eastAsia="楷体" w:cs="楷体"/>
          <w:b/>
          <w:bCs/>
          <w:color w:val="auto"/>
          <w:szCs w:val="28"/>
        </w:rPr>
      </w:pPr>
      <w:r>
        <w:rPr>
          <w:rFonts w:hint="eastAsia" w:ascii="楷体" w:hAnsi="楷体" w:eastAsia="楷体" w:cs="楷体"/>
          <w:b/>
          <w:bCs/>
          <w:color w:val="auto"/>
          <w:szCs w:val="28"/>
        </w:rPr>
        <w:t>（三）资源储量确定符合性</w:t>
      </w:r>
    </w:p>
    <w:p w14:paraId="3E5E97F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《方案》资源储量类型确定合理，设计利用资源量、可采资源储量的确定符合自治区自然资源厅相关政策要求。</w:t>
      </w:r>
    </w:p>
    <w:p w14:paraId="46C2434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44" w:firstLineChars="200"/>
        <w:textAlignment w:val="baseline"/>
        <w:outlineLvl w:val="0"/>
        <w:rPr>
          <w:rFonts w:hint="eastAsia" w:ascii="黑体" w:hAnsi="黑体" w:eastAsia="黑体" w:cs="黑体"/>
          <w:b w:val="0"/>
          <w:bCs w:val="0"/>
          <w:color w:val="auto"/>
          <w:spacing w:val="-4"/>
          <w:szCs w:val="28"/>
        </w:rPr>
      </w:pPr>
      <w:r>
        <w:rPr>
          <w:rFonts w:hint="eastAsia" w:ascii="黑体" w:hAnsi="黑体" w:eastAsia="黑体" w:cs="黑体"/>
          <w:b w:val="0"/>
          <w:bCs w:val="0"/>
          <w:color w:val="auto"/>
          <w:spacing w:val="-4"/>
          <w:szCs w:val="28"/>
        </w:rPr>
        <w:t>三、设计开采规模及服务年限</w:t>
      </w:r>
    </w:p>
    <w:p w14:paraId="124BD41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本次设计根据市场需求、矿床规模、开采技术条件及《新疆维吾尔自治区28个国家重点生态功能区县（市）产业准入负面清单（试行）的通知》（新发改规划〔2017〕891号）文件要求，矿山生产规模为</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万m³/a，设计服务年限为</w:t>
      </w:r>
      <w:r>
        <w:rPr>
          <w:rFonts w:hint="eastAsia" w:ascii="仿宋_GB2312" w:hAnsi="仿宋_GB2312" w:eastAsia="仿宋_GB2312" w:cs="仿宋_GB2312"/>
          <w:color w:val="auto"/>
          <w:sz w:val="28"/>
          <w:szCs w:val="28"/>
          <w:lang w:val="en-US" w:eastAsia="zh-CN"/>
        </w:rPr>
        <w:t>8.43年（8年6个月）</w:t>
      </w:r>
      <w:r>
        <w:rPr>
          <w:rFonts w:hint="eastAsia" w:ascii="仿宋_GB2312" w:hAnsi="仿宋_GB2312" w:eastAsia="仿宋_GB2312" w:cs="仿宋_GB2312"/>
          <w:color w:val="auto"/>
          <w:sz w:val="28"/>
          <w:szCs w:val="28"/>
          <w:lang w:val="zh-CN" w:eastAsia="zh-CN"/>
        </w:rPr>
        <w:t>。</w:t>
      </w:r>
    </w:p>
    <w:p w14:paraId="29428D8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46"/>
        <w:textAlignment w:val="baseline"/>
        <w:outlineLvl w:val="0"/>
        <w:rPr>
          <w:rFonts w:hint="eastAsia" w:ascii="黑体" w:hAnsi="黑体" w:eastAsia="黑体" w:cs="黑体"/>
          <w:b w:val="0"/>
          <w:bCs w:val="0"/>
          <w:color w:val="auto"/>
          <w:spacing w:val="-4"/>
          <w:szCs w:val="28"/>
        </w:rPr>
      </w:pPr>
      <w:r>
        <w:rPr>
          <w:rFonts w:hint="eastAsia" w:ascii="黑体" w:hAnsi="黑体" w:eastAsia="黑体" w:cs="黑体"/>
          <w:b w:val="0"/>
          <w:bCs w:val="0"/>
          <w:color w:val="auto"/>
          <w:spacing w:val="-4"/>
          <w:szCs w:val="28"/>
        </w:rPr>
        <w:t>采矿及选矿方案</w:t>
      </w:r>
    </w:p>
    <w:p w14:paraId="281F6B3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矿山采用凹陷露天开采方式，</w:t>
      </w:r>
      <w:r>
        <w:rPr>
          <w:rFonts w:hint="eastAsia" w:ascii="仿宋_GB2312" w:hAnsi="仿宋_GB2312" w:eastAsia="仿宋_GB2312" w:cs="仿宋_GB2312"/>
          <w:color w:val="auto"/>
          <w:sz w:val="28"/>
          <w:szCs w:val="28"/>
          <w:lang w:val="en-US" w:eastAsia="zh-CN"/>
        </w:rPr>
        <w:t>汽车</w:t>
      </w:r>
      <w:r>
        <w:rPr>
          <w:rFonts w:hint="eastAsia" w:ascii="仿宋_GB2312" w:hAnsi="仿宋_GB2312" w:eastAsia="仿宋_GB2312" w:cs="仿宋_GB2312"/>
          <w:color w:val="auto"/>
          <w:sz w:val="28"/>
          <w:szCs w:val="28"/>
          <w:lang w:eastAsia="zh-CN"/>
        </w:rPr>
        <w:t>开拓运输方式，自上而下水</w:t>
      </w:r>
      <w:r>
        <w:rPr>
          <w:rFonts w:hint="eastAsia" w:ascii="仿宋_GB2312" w:hAnsi="仿宋_GB2312" w:eastAsia="仿宋_GB2312" w:cs="仿宋_GB2312"/>
          <w:color w:val="auto"/>
          <w:sz w:val="28"/>
          <w:szCs w:val="28"/>
          <w:lang w:val="en-US" w:eastAsia="zh-CN"/>
        </w:rPr>
        <w:t>平</w:t>
      </w:r>
      <w:r>
        <w:rPr>
          <w:rFonts w:hint="eastAsia" w:ascii="仿宋_GB2312" w:hAnsi="仿宋_GB2312" w:eastAsia="仿宋_GB2312" w:cs="仿宋_GB2312"/>
          <w:color w:val="auto"/>
          <w:sz w:val="28"/>
          <w:szCs w:val="28"/>
          <w:lang w:eastAsia="zh-CN"/>
        </w:rPr>
        <w:t>分层台阶式的采矿方法，选择合理参数圈定露天开采境界，设计损失率</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eastAsia="zh-CN"/>
        </w:rPr>
        <w:t>%，设计采矿回采率9</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%，采矿损失率</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p>
    <w:p w14:paraId="4B59217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筛选工艺流程如下：</w:t>
      </w:r>
    </w:p>
    <w:p w14:paraId="257735D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胶带输送机→震动筛→筛分分级并水洗→胶带输送机转运→装载机铲装、自卸汽车倒运至成品堆放场。</w:t>
      </w:r>
    </w:p>
    <w:p w14:paraId="0188174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筛分作业的产品为＜0.15mm的细砂；0.15～5mm的粗砂；5～20mm的细砾；20～40mm粗砾。</w:t>
      </w:r>
    </w:p>
    <w:p w14:paraId="16195DD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矿山在实际采选开发生产建设活动中，要以正式设计单位编制并审核通过的采选等设计为准执行。</w:t>
      </w:r>
    </w:p>
    <w:p w14:paraId="2548DC8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58"/>
        <w:textAlignment w:val="baseline"/>
        <w:outlineLvl w:val="0"/>
        <w:rPr>
          <w:rFonts w:hint="eastAsia" w:ascii="黑体" w:hAnsi="黑体" w:eastAsia="黑体" w:cs="黑体"/>
          <w:b w:val="0"/>
          <w:bCs w:val="0"/>
          <w:color w:val="000000" w:themeColor="text1"/>
          <w:spacing w:val="-1"/>
          <w:szCs w:val="28"/>
          <w14:textFill>
            <w14:solidFill>
              <w14:schemeClr w14:val="tx1"/>
            </w14:solidFill>
          </w14:textFill>
        </w:rPr>
      </w:pPr>
      <w:r>
        <w:rPr>
          <w:rFonts w:hint="eastAsia" w:ascii="黑体" w:hAnsi="黑体" w:eastAsia="黑体" w:cs="黑体"/>
          <w:b w:val="0"/>
          <w:bCs w:val="0"/>
          <w:color w:val="000000" w:themeColor="text1"/>
          <w:spacing w:val="-1"/>
          <w:szCs w:val="28"/>
          <w14:textFill>
            <w14:solidFill>
              <w14:schemeClr w14:val="tx1"/>
            </w14:solidFill>
          </w14:textFill>
        </w:rPr>
        <w:t>五、产品方案</w:t>
      </w:r>
    </w:p>
    <w:p w14:paraId="2F2BFB3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设计最终产品方案为</w:t>
      </w:r>
      <w:r>
        <w:rPr>
          <w:rFonts w:hint="eastAsia" w:ascii="仿宋_GB2312" w:hAnsi="仿宋_GB2312" w:eastAsia="仿宋_GB2312" w:cs="仿宋_GB2312"/>
          <w:color w:val="auto"/>
          <w:sz w:val="28"/>
          <w:szCs w:val="28"/>
          <w:lang w:val="en-US" w:eastAsia="zh-CN"/>
        </w:rPr>
        <w:t>＜0.15mm的细砂；0.15～5mm的粗砂；5～20mm的细砾；20～40mm粗砾，共4个产品段</w:t>
      </w:r>
      <w:r>
        <w:rPr>
          <w:rFonts w:hint="eastAsia" w:ascii="仿宋_GB2312" w:hAnsi="仿宋_GB2312" w:eastAsia="仿宋_GB2312" w:cs="仿宋_GB2312"/>
          <w:color w:val="auto"/>
          <w:sz w:val="28"/>
          <w:szCs w:val="28"/>
          <w:lang w:eastAsia="zh-CN"/>
        </w:rPr>
        <w:t>。</w:t>
      </w:r>
    </w:p>
    <w:p w14:paraId="2FC43CC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58"/>
        <w:textAlignment w:val="baseline"/>
        <w:outlineLvl w:val="0"/>
        <w:rPr>
          <w:rFonts w:hint="eastAsia" w:ascii="黑体" w:hAnsi="黑体" w:eastAsia="黑体" w:cs="黑体"/>
          <w:b w:val="0"/>
          <w:bCs w:val="0"/>
          <w:color w:val="000000" w:themeColor="text1"/>
          <w:spacing w:val="-1"/>
          <w:szCs w:val="28"/>
          <w14:textFill>
            <w14:solidFill>
              <w14:schemeClr w14:val="tx1"/>
            </w14:solidFill>
          </w14:textFill>
        </w:rPr>
      </w:pPr>
      <w:r>
        <w:rPr>
          <w:rFonts w:hint="eastAsia" w:ascii="黑体" w:hAnsi="黑体" w:eastAsia="黑体" w:cs="黑体"/>
          <w:b w:val="0"/>
          <w:bCs w:val="0"/>
          <w:color w:val="000000" w:themeColor="text1"/>
          <w:spacing w:val="-1"/>
          <w:szCs w:val="28"/>
          <w14:textFill>
            <w14:solidFill>
              <w14:schemeClr w14:val="tx1"/>
            </w14:solidFill>
          </w14:textFill>
        </w:rPr>
        <w:t>六、绿色矿山建设</w:t>
      </w:r>
    </w:p>
    <w:p w14:paraId="60A9CA6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设计采取的开采工艺以及选矿工艺符合本行业绿色矿山建设规范和节约与综合利用要求。设计采矿回采率、选矿回收率、综合利用率指标为：</w:t>
      </w:r>
    </w:p>
    <w:p w14:paraId="7D78AFA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采矿回采率：根据开采技术条件，本矿采用露天采矿回采率指标应达到9</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%，本次设计采用自上而下水分层台阶式的采矿方法回采率9</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%，采矿损失率</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%，采矿回采率指标均符合</w:t>
      </w:r>
      <w:r>
        <w:rPr>
          <w:rFonts w:hint="eastAsia" w:ascii="仿宋_GB2312" w:hAnsi="仿宋_GB2312" w:eastAsia="仿宋_GB2312" w:cs="仿宋_GB2312"/>
          <w:color w:val="auto"/>
          <w:sz w:val="28"/>
          <w:szCs w:val="28"/>
          <w:lang w:val="zh-CN" w:eastAsia="zh-CN"/>
        </w:rPr>
        <w:t>《装饰石材矿山露天开采工程设计规范》（GB50970-2014）</w:t>
      </w:r>
      <w:r>
        <w:rPr>
          <w:rFonts w:hint="eastAsia" w:ascii="仿宋_GB2312" w:hAnsi="仿宋_GB2312" w:eastAsia="仿宋_GB2312" w:cs="仿宋_GB2312"/>
          <w:color w:val="auto"/>
          <w:sz w:val="28"/>
          <w:szCs w:val="28"/>
          <w:lang w:eastAsia="zh-CN"/>
        </w:rPr>
        <w:t>规定采矿回采率指标要求。</w:t>
      </w:r>
    </w:p>
    <w:p w14:paraId="074DDDF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bookmarkStart w:id="6" w:name="_Hlk91925669"/>
      <w:r>
        <w:rPr>
          <w:rFonts w:hint="eastAsia" w:ascii="仿宋_GB2312" w:hAnsi="仿宋_GB2312" w:eastAsia="仿宋_GB2312" w:cs="仿宋_GB2312"/>
          <w:color w:val="auto"/>
          <w:sz w:val="28"/>
          <w:szCs w:val="28"/>
          <w:lang w:eastAsia="zh-CN"/>
        </w:rPr>
        <w:t>综合利用率：</w:t>
      </w:r>
      <w:bookmarkEnd w:id="6"/>
      <w:r>
        <w:rPr>
          <w:rFonts w:hint="eastAsia" w:ascii="仿宋_GB2312" w:hAnsi="仿宋_GB2312" w:eastAsia="仿宋_GB2312" w:cs="仿宋_GB2312"/>
          <w:color w:val="auto"/>
          <w:sz w:val="28"/>
          <w:szCs w:val="28"/>
          <w:lang w:eastAsia="zh-CN"/>
        </w:rPr>
        <w:t>本矿无共伴生矿，对于矿山废石可闭坑后回填采矿场，固废利用率100%。</w:t>
      </w:r>
    </w:p>
    <w:p w14:paraId="75B7850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4"/>
        <w:textAlignment w:val="baseline"/>
        <w:rPr>
          <w:rFonts w:hint="eastAsia" w:ascii="黑体" w:hAnsi="黑体" w:eastAsia="黑体" w:cs="黑体"/>
          <w:b w:val="0"/>
          <w:bCs w:val="0"/>
          <w:color w:val="auto"/>
          <w:spacing w:val="1"/>
          <w:szCs w:val="28"/>
        </w:rPr>
      </w:pPr>
      <w:r>
        <w:rPr>
          <w:rFonts w:hint="eastAsia" w:ascii="黑体" w:hAnsi="黑体" w:eastAsia="黑体" w:cs="黑体"/>
          <w:b w:val="0"/>
          <w:bCs w:val="0"/>
          <w:color w:val="auto"/>
          <w:spacing w:val="1"/>
          <w:szCs w:val="28"/>
        </w:rPr>
        <w:t>七、矿区地质环境</w:t>
      </w:r>
      <w:bookmarkStart w:id="7" w:name="_Hlk91925963"/>
      <w:r>
        <w:rPr>
          <w:rFonts w:hint="eastAsia" w:ascii="黑体" w:hAnsi="黑体" w:eastAsia="黑体" w:cs="黑体"/>
          <w:b w:val="0"/>
          <w:bCs w:val="0"/>
          <w:color w:val="auto"/>
          <w:spacing w:val="1"/>
          <w:szCs w:val="28"/>
        </w:rPr>
        <w:t>治理恢复</w:t>
      </w:r>
      <w:bookmarkEnd w:id="7"/>
    </w:p>
    <w:p w14:paraId="3A1EC64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（一）本次工作查明了矿山环境现状，分析了矿山环境发展趋势，其论述内容基本全面，结论基本正确。</w:t>
      </w:r>
    </w:p>
    <w:p w14:paraId="75B8686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（二）确定评估级别为</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级，评估区面积</w:t>
      </w:r>
      <w:r>
        <w:rPr>
          <w:rFonts w:hint="eastAsia" w:ascii="仿宋_GB2312" w:hAnsi="仿宋_GB2312" w:eastAsia="仿宋_GB2312" w:cs="仿宋_GB2312"/>
          <w:color w:val="auto"/>
          <w:sz w:val="28"/>
          <w:szCs w:val="28"/>
          <w:lang w:val="en-US" w:eastAsia="zh-CN"/>
        </w:rPr>
        <w:t>0.2339平方千米</w:t>
      </w:r>
      <w:r>
        <w:rPr>
          <w:rFonts w:hint="eastAsia" w:ascii="仿宋_GB2312" w:hAnsi="仿宋_GB2312" w:eastAsia="仿宋_GB2312" w:cs="仿宋_GB2312"/>
          <w:color w:val="auto"/>
          <w:sz w:val="28"/>
          <w:szCs w:val="28"/>
          <w:lang w:eastAsia="zh-CN"/>
        </w:rPr>
        <w:t>，评估等级划分正确，评估范围确定合理。</w:t>
      </w:r>
    </w:p>
    <w:p w14:paraId="2A4B5C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（三）对矿山地质环境影响进行了现状分析评估，经评估，现状条件下矿区内各类地质灾害不发育，含水层破坏、</w:t>
      </w:r>
      <w:r>
        <w:rPr>
          <w:rFonts w:hint="eastAsia" w:ascii="仿宋_GB2312" w:hAnsi="仿宋_GB2312" w:eastAsia="仿宋_GB2312" w:cs="仿宋_GB2312"/>
          <w:color w:val="auto"/>
          <w:sz w:val="28"/>
          <w:szCs w:val="28"/>
          <w:lang w:val="en-US" w:eastAsia="zh-CN"/>
        </w:rPr>
        <w:t>地形地貌、</w:t>
      </w:r>
      <w:r>
        <w:rPr>
          <w:rFonts w:hint="eastAsia" w:ascii="仿宋_GB2312" w:hAnsi="仿宋_GB2312" w:eastAsia="仿宋_GB2312" w:cs="仿宋_GB2312"/>
          <w:color w:val="auto"/>
          <w:sz w:val="28"/>
          <w:szCs w:val="28"/>
          <w:lang w:eastAsia="zh-CN"/>
        </w:rPr>
        <w:t>水土环境污染、大气环境污染等方面影响程度较轻，对矿山地质环境的影响程度较轻。</w:t>
      </w:r>
    </w:p>
    <w:p w14:paraId="3FA6268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矿山地质环境影响现状评估划分为严重区、较严重区、较轻区，评估区总面积23.3895公顷，其中：</w:t>
      </w:r>
    </w:p>
    <w:p w14:paraId="0878594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严重区：面积6.6268公顷，为现有采坑。</w:t>
      </w:r>
    </w:p>
    <w:p w14:paraId="4D64AA5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较严重区：面积0.9863公顷，为办公生活区、工业广场、废石堆放场。</w:t>
      </w:r>
    </w:p>
    <w:p w14:paraId="1EE3DD0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较轻区：面积15.7764公顷，为除上述区域外评估区其他区域。</w:t>
      </w:r>
    </w:p>
    <w:p w14:paraId="6E7D754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（四）对采矿活动对矿山地质环境的影响进行了预测评估，经评估，矿山地质环境影响预测评估分区划分为严重区、较严重区和较轻区三个区：评估区总面积23.3895公顷，其中：</w:t>
      </w:r>
    </w:p>
    <w:p w14:paraId="72941CA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严重区：面积16.7831公顷，为规划露天采场（矿建设施均位于规划露天采场范围内，为废石堆放场、工业广场、办公生活区）；</w:t>
      </w:r>
    </w:p>
    <w:p w14:paraId="1CCB760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较轻区：面积6.6064公顷，为上述区域以外的评估区其他区域。</w:t>
      </w:r>
    </w:p>
    <w:p w14:paraId="6D8B24E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 w:val="28"/>
          <w:szCs w:val="28"/>
          <w:lang w:eastAsia="zh-CN"/>
        </w:rPr>
        <w:t>（五）确定了矿山环境保护与治理恢复的原则、目标和任务，对矿区进行了矿山环境保护与治理恢复分区，并提出了具体的保护、治理以及监测方案，并进行了经费概算。</w:t>
      </w:r>
    </w:p>
    <w:p w14:paraId="31DB0CE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1、矿山环境保护与综合治理分区</w:t>
      </w:r>
    </w:p>
    <w:p w14:paraId="2F71A80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划分了重点防治区、次重点防治区和一般防治区。重点防治区为采矿场，面积16.7831公顷，该区现状评估各场地对矿山地质环境影响程度较轻；预测评估对矿山地质环境影响程度为严重。共划分为3个次重点防治区，为废石堆放场、工业广场、办公生活区次重点防治区，面积0.9863公顷（矿建设施均位于规划露天采场范围内），现状评估对矿山地质环境影响程度为较轻；预测评估对矿山地质环境影响程度为较严重。一般防治区总面积3.81公顷，为重点防治区、次重点防治区以外的其他区域，现状评估对矿山地质环境影响程度为较轻；预测评估对矿山地质环境影响程度为较轻。</w:t>
      </w:r>
    </w:p>
    <w:p w14:paraId="6F3D495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2、地质环境治理工程</w:t>
      </w:r>
    </w:p>
    <w:p w14:paraId="765432C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（1）矿山地质灾害防治及监测：对预测</w:t>
      </w:r>
      <w:bookmarkStart w:id="8" w:name="_Hlk100051217"/>
      <w:r>
        <w:rPr>
          <w:rFonts w:hint="eastAsia" w:ascii="仿宋_GB2312" w:hAnsi="仿宋_GB2312" w:eastAsia="仿宋_GB2312" w:cs="仿宋_GB2312"/>
          <w:color w:val="auto"/>
          <w:sz w:val="28"/>
          <w:szCs w:val="28"/>
          <w:lang w:eastAsia="zh-CN"/>
        </w:rPr>
        <w:t>存在崩塌地质灾害</w:t>
      </w:r>
      <w:bookmarkEnd w:id="8"/>
      <w:r>
        <w:rPr>
          <w:rFonts w:hint="eastAsia" w:ascii="仿宋_GB2312" w:hAnsi="仿宋_GB2312" w:eastAsia="仿宋_GB2312" w:cs="仿宋_GB2312"/>
          <w:color w:val="auto"/>
          <w:sz w:val="28"/>
          <w:szCs w:val="28"/>
          <w:lang w:eastAsia="zh-CN"/>
        </w:rPr>
        <w:t>的采矿场外设置铁丝围栏</w:t>
      </w:r>
      <w:r>
        <w:rPr>
          <w:rFonts w:hint="eastAsia" w:ascii="仿宋_GB2312" w:hAnsi="仿宋_GB2312" w:eastAsia="仿宋_GB2312" w:cs="仿宋_GB2312"/>
          <w:color w:val="auto"/>
          <w:sz w:val="28"/>
          <w:szCs w:val="28"/>
          <w:lang w:val="en-US" w:eastAsia="zh-CN"/>
        </w:rPr>
        <w:t>1772</w:t>
      </w:r>
      <w:r>
        <w:rPr>
          <w:rFonts w:hint="eastAsia" w:ascii="仿宋_GB2312" w:hAnsi="仿宋_GB2312" w:eastAsia="仿宋_GB2312" w:cs="仿宋_GB2312"/>
          <w:color w:val="auto"/>
          <w:sz w:val="28"/>
          <w:szCs w:val="28"/>
          <w:lang w:eastAsia="zh-CN"/>
        </w:rPr>
        <w:t>米，警示牌</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eastAsia="zh-CN"/>
        </w:rPr>
        <w:t>个；建立矿山地质环境监测系统，完成崩塌等地质灾害监测点的布置等。该项目工作贯穿整个矿山服务年限。</w:t>
      </w:r>
    </w:p>
    <w:p w14:paraId="28B0FC1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（2）含水层破坏的预防、修复及监测：每半个月将生活垃圾清运至垃圾填埋场处理。矿山生产对含水层结构破坏较小，未来主要采取预防工程措施，矿山闭坑后可以自然恢复，不需要进行专门的修复。</w:t>
      </w:r>
    </w:p>
    <w:p w14:paraId="70A08E1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矿山采用露天开采，评估区内无地表水体，矿体多位于当地侵蚀基准面和地下水位以上，对含水层破坏程度较轻，因此矿山不对含水层进行监测。</w:t>
      </w:r>
    </w:p>
    <w:p w14:paraId="688577F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地形地貌景观破坏的预防、修复及监测：矿山开采期间优化开采方案，减少对地表的挖损、压占破坏；对废弃物尽可能综合利用，减少对地形地貌景观的破坏；边开采边治理，及时恢复地貌。矿山闭坑后，将不再留用的地面建筑拆除，可利用材料外运再利用，建筑垃圾拉运至</w:t>
      </w:r>
      <w:r>
        <w:rPr>
          <w:rFonts w:hint="eastAsia" w:ascii="仿宋_GB2312" w:hAnsi="仿宋_GB2312" w:eastAsia="仿宋_GB2312" w:cs="仿宋_GB2312"/>
          <w:color w:val="auto"/>
          <w:sz w:val="28"/>
          <w:szCs w:val="28"/>
          <w:lang w:val="en-US" w:eastAsia="zh-CN"/>
        </w:rPr>
        <w:t>高昌区</w:t>
      </w:r>
      <w:r>
        <w:rPr>
          <w:rFonts w:hint="eastAsia" w:ascii="仿宋_GB2312" w:hAnsi="仿宋_GB2312" w:eastAsia="仿宋_GB2312" w:cs="仿宋_GB2312"/>
          <w:color w:val="auto"/>
          <w:sz w:val="28"/>
          <w:szCs w:val="28"/>
          <w:lang w:eastAsia="zh-CN"/>
        </w:rPr>
        <w:t>生活垃圾填埋场统一处置，对场地进行平整，恢复为原土地利用类型，使地形地貌景观破坏修复为与周边地形地貌相协调。监测频率1</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lang w:eastAsia="zh-CN"/>
        </w:rPr>
        <w:t>监测</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次。</w:t>
      </w:r>
    </w:p>
    <w:p w14:paraId="1E3D548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bookmarkStart w:id="9" w:name="_Toc76981923"/>
      <w:bookmarkStart w:id="10" w:name="_Toc4933"/>
      <w:bookmarkStart w:id="11" w:name="_Toc76982307"/>
      <w:bookmarkStart w:id="12" w:name="_Toc76982487"/>
      <w:r>
        <w:rPr>
          <w:rFonts w:hint="eastAsia" w:ascii="仿宋_GB2312" w:hAnsi="仿宋_GB2312" w:eastAsia="仿宋_GB2312" w:cs="仿宋_GB2312"/>
          <w:color w:val="auto"/>
          <w:sz w:val="28"/>
          <w:szCs w:val="28"/>
          <w:lang w:eastAsia="zh-CN"/>
        </w:rPr>
        <w:t>（4）水土环境污染</w:t>
      </w:r>
      <w:bookmarkEnd w:id="9"/>
      <w:bookmarkEnd w:id="10"/>
      <w:bookmarkEnd w:id="11"/>
      <w:bookmarkEnd w:id="12"/>
      <w:r>
        <w:rPr>
          <w:rFonts w:hint="eastAsia" w:ascii="仿宋_GB2312" w:hAnsi="仿宋_GB2312" w:eastAsia="仿宋_GB2312" w:cs="仿宋_GB2312"/>
          <w:color w:val="auto"/>
          <w:sz w:val="28"/>
          <w:szCs w:val="28"/>
          <w:lang w:eastAsia="zh-CN"/>
        </w:rPr>
        <w:t>的预防、修复及监测：①矿山生产期间，矿山将生产活动控制在生产生活场地内，废石土临时堆存在</w:t>
      </w:r>
      <w:r>
        <w:rPr>
          <w:rFonts w:hint="eastAsia" w:ascii="仿宋_GB2312" w:hAnsi="仿宋_GB2312" w:eastAsia="仿宋_GB2312" w:cs="仿宋_GB2312"/>
          <w:color w:val="auto"/>
          <w:sz w:val="28"/>
          <w:szCs w:val="28"/>
          <w:lang w:val="en-US" w:eastAsia="zh-CN"/>
        </w:rPr>
        <w:t>排土场</w:t>
      </w:r>
      <w:r>
        <w:rPr>
          <w:rFonts w:hint="eastAsia" w:ascii="仿宋_GB2312" w:hAnsi="仿宋_GB2312" w:eastAsia="仿宋_GB2312" w:cs="仿宋_GB2312"/>
          <w:color w:val="auto"/>
          <w:sz w:val="28"/>
          <w:szCs w:val="28"/>
          <w:lang w:eastAsia="zh-CN"/>
        </w:rPr>
        <w:t>；定期清运生活垃圾运至</w:t>
      </w:r>
      <w:r>
        <w:rPr>
          <w:rFonts w:hint="eastAsia" w:ascii="仿宋_GB2312" w:hAnsi="仿宋_GB2312" w:eastAsia="仿宋_GB2312" w:cs="仿宋_GB2312"/>
          <w:color w:val="auto"/>
          <w:sz w:val="28"/>
          <w:szCs w:val="28"/>
          <w:lang w:val="en-US" w:eastAsia="zh-CN"/>
        </w:rPr>
        <w:t>高昌区垃圾填埋场</w:t>
      </w:r>
      <w:r>
        <w:rPr>
          <w:rFonts w:hint="eastAsia" w:ascii="仿宋_GB2312" w:hAnsi="仿宋_GB2312" w:eastAsia="仿宋_GB2312" w:cs="仿宋_GB2312"/>
          <w:color w:val="auto"/>
          <w:sz w:val="28"/>
          <w:szCs w:val="28"/>
          <w:lang w:eastAsia="zh-CN"/>
        </w:rPr>
        <w:t>统一处理；避免对土地造成污染损毁。 ②生活污水经处理后，达到《农村生活污水处理排放标准》（DB65 4275-2019）中的排放标准，用于矿区洒水降尘及绿化。③矿山未来仅采取监测和预防工程措施，不采取治理工程措施。④可能引发土壤污染的区域布设监测点，加强对土壤环境的动态跟踪监测。在</w:t>
      </w:r>
      <w:r>
        <w:rPr>
          <w:rFonts w:hint="eastAsia" w:ascii="仿宋_GB2312" w:hAnsi="仿宋_GB2312" w:eastAsia="仿宋_GB2312" w:cs="仿宋_GB2312"/>
          <w:color w:val="auto"/>
          <w:sz w:val="28"/>
          <w:szCs w:val="28"/>
          <w:lang w:val="en-US" w:eastAsia="zh-CN"/>
        </w:rPr>
        <w:t>生活区、工业广场各</w:t>
      </w:r>
      <w:r>
        <w:rPr>
          <w:rFonts w:hint="eastAsia" w:ascii="仿宋_GB2312" w:hAnsi="仿宋_GB2312" w:eastAsia="仿宋_GB2312" w:cs="仿宋_GB2312"/>
          <w:color w:val="auto"/>
          <w:sz w:val="28"/>
          <w:szCs w:val="28"/>
          <w:lang w:eastAsia="zh-CN"/>
        </w:rPr>
        <w:t>布置</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个监测点，每年取土壤测试样</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次。（实际生产建设中按照生态环境主管部门批复的环境影响评价和有关方案要求执行）</w:t>
      </w:r>
    </w:p>
    <w:p w14:paraId="0D29C22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（5）大气环境的预防、修复及监测：大气环境污染较轻，无需设计大气环境污染修复，以预防措施为主。主要在无组织排放源下风向布置1个监测点，进行大气环境监测。每年在矿山生产期采集气体样品</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次，每次连续24小时监测。（实际生产建设中按照生态环境主管部门批复的环境影响评价和有关方案要求执行）</w:t>
      </w:r>
    </w:p>
    <w:p w14:paraId="616EDFC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textAlignment w:val="baseline"/>
        <w:outlineLvl w:val="0"/>
        <w:rPr>
          <w:rFonts w:hint="eastAsia" w:ascii="黑体" w:hAnsi="黑体" w:eastAsia="黑体" w:cs="黑体"/>
          <w:b w:val="0"/>
          <w:bCs w:val="0"/>
          <w:color w:val="auto"/>
          <w:szCs w:val="28"/>
        </w:rPr>
      </w:pPr>
      <w:r>
        <w:rPr>
          <w:rFonts w:hint="eastAsia" w:ascii="黑体" w:hAnsi="黑体" w:eastAsia="黑体" w:cs="黑体"/>
          <w:b w:val="0"/>
          <w:bCs w:val="0"/>
          <w:color w:val="auto"/>
          <w:szCs w:val="28"/>
        </w:rPr>
        <w:t>八、矿区土地复垦</w:t>
      </w:r>
    </w:p>
    <w:p w14:paraId="4280967D">
      <w:pPr>
        <w:keepNext w:val="0"/>
        <w:keepLines w:val="0"/>
        <w:pageBreakBefore w:val="0"/>
        <w:widowControl/>
        <w:tabs>
          <w:tab w:val="left" w:pos="4151"/>
        </w:tabs>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1、矿区土地利用现状</w:t>
      </w:r>
      <w:r>
        <w:rPr>
          <w:rFonts w:hint="eastAsia" w:ascii="仿宋_GB2312" w:hAnsi="仿宋_GB2312" w:eastAsia="仿宋_GB2312" w:cs="仿宋_GB2312"/>
          <w:color w:val="auto"/>
          <w:sz w:val="28"/>
          <w:szCs w:val="28"/>
          <w:lang w:eastAsia="zh-CN"/>
        </w:rPr>
        <w:tab/>
      </w:r>
    </w:p>
    <w:p w14:paraId="21F2DE55">
      <w:pPr>
        <w:keepNext w:val="0"/>
        <w:keepLines w:val="0"/>
        <w:pageBreakBefore w:val="0"/>
        <w:widowControl/>
        <w:tabs>
          <w:tab w:val="left" w:pos="4151"/>
        </w:tabs>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矿区范围面积</w:t>
      </w:r>
      <w:r>
        <w:rPr>
          <w:rFonts w:hint="eastAsia" w:ascii="仿宋_GB2312" w:hAnsi="仿宋_GB2312" w:eastAsia="仿宋_GB2312" w:cs="仿宋_GB2312"/>
          <w:color w:val="auto"/>
          <w:sz w:val="28"/>
          <w:szCs w:val="28"/>
          <w:lang w:val="en-US" w:eastAsia="zh-CN"/>
        </w:rPr>
        <w:t>16.87</w:t>
      </w:r>
      <w:r>
        <w:rPr>
          <w:rFonts w:hint="eastAsia" w:ascii="仿宋_GB2312" w:hAnsi="仿宋_GB2312" w:eastAsia="仿宋_GB2312" w:cs="仿宋_GB2312"/>
          <w:color w:val="auto"/>
          <w:sz w:val="28"/>
          <w:szCs w:val="28"/>
          <w:lang w:eastAsia="zh-CN"/>
        </w:rPr>
        <w:t>公顷，</w:t>
      </w:r>
      <w:bookmarkStart w:id="13" w:name="_Hlk100053056"/>
      <w:r>
        <w:rPr>
          <w:rFonts w:hint="eastAsia" w:ascii="仿宋_GB2312" w:hAnsi="仿宋_GB2312" w:eastAsia="仿宋_GB2312" w:cs="仿宋_GB2312"/>
          <w:color w:val="auto"/>
          <w:sz w:val="28"/>
          <w:szCs w:val="28"/>
          <w:lang w:eastAsia="zh-CN"/>
        </w:rPr>
        <w:t>涉及</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种土地利用类型</w:t>
      </w:r>
      <w:bookmarkEnd w:id="13"/>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16.87公顷均为裸岩石砾地</w:t>
      </w:r>
      <w:r>
        <w:rPr>
          <w:rFonts w:hint="eastAsia" w:ascii="仿宋_GB2312" w:hAnsi="仿宋_GB2312" w:eastAsia="仿宋_GB2312" w:cs="仿宋_GB2312"/>
          <w:color w:val="auto"/>
          <w:sz w:val="28"/>
          <w:szCs w:val="28"/>
          <w:lang w:eastAsia="zh-CN"/>
        </w:rPr>
        <w:t>。</w:t>
      </w:r>
    </w:p>
    <w:p w14:paraId="138FB13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矿区位于吐鲁番市39°方向，距吐鲁番市高昌区直距约19.5千米，土地权属性质为国有。</w:t>
      </w:r>
    </w:p>
    <w:p w14:paraId="10BC6AE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2、土地复垦区与复垦责任范围</w:t>
      </w:r>
    </w:p>
    <w:p w14:paraId="1FB8F17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本方案复垦区面积</w:t>
      </w:r>
      <w:r>
        <w:rPr>
          <w:rFonts w:hint="eastAsia" w:ascii="仿宋_GB2312" w:hAnsi="仿宋_GB2312" w:eastAsia="仿宋_GB2312" w:cs="仿宋_GB2312"/>
          <w:color w:val="auto"/>
          <w:sz w:val="28"/>
          <w:szCs w:val="28"/>
          <w:lang w:val="en-US" w:eastAsia="zh-CN"/>
        </w:rPr>
        <w:t>17.5396</w:t>
      </w:r>
      <w:r>
        <w:rPr>
          <w:rFonts w:hint="eastAsia" w:ascii="仿宋_GB2312" w:hAnsi="仿宋_GB2312" w:eastAsia="仿宋_GB2312" w:cs="仿宋_GB2312"/>
          <w:color w:val="auto"/>
          <w:sz w:val="28"/>
          <w:szCs w:val="28"/>
          <w:lang w:eastAsia="zh-CN"/>
        </w:rPr>
        <w:t>公顷，包括</w:t>
      </w:r>
      <w:r>
        <w:rPr>
          <w:rFonts w:hint="eastAsia" w:ascii="仿宋_GB2312" w:hAnsi="仿宋_GB2312" w:eastAsia="仿宋_GB2312" w:cs="仿宋_GB2312"/>
          <w:color w:val="auto"/>
          <w:sz w:val="28"/>
          <w:szCs w:val="28"/>
          <w:lang w:val="en-US" w:eastAsia="zh-CN"/>
        </w:rPr>
        <w:t>规划露天采场、工业广场、办公生活区、废石堆放场</w:t>
      </w:r>
      <w:r>
        <w:rPr>
          <w:rFonts w:hint="eastAsia" w:ascii="仿宋_GB2312" w:hAnsi="仿宋_GB2312" w:eastAsia="仿宋_GB2312" w:cs="仿宋_GB2312"/>
          <w:color w:val="auto"/>
          <w:sz w:val="28"/>
          <w:szCs w:val="28"/>
          <w:lang w:eastAsia="zh-CN"/>
        </w:rPr>
        <w:t>，其它未损毁区域保持原状，不属于本矿山复垦责任，最终确定本方案复垦责任范围面积</w:t>
      </w:r>
      <w:bookmarkStart w:id="14" w:name="_Hlk92304225"/>
      <w:r>
        <w:rPr>
          <w:rFonts w:hint="eastAsia" w:ascii="仿宋_GB2312" w:hAnsi="仿宋_GB2312" w:eastAsia="仿宋_GB2312" w:cs="仿宋_GB2312"/>
          <w:color w:val="auto"/>
          <w:sz w:val="28"/>
          <w:szCs w:val="28"/>
          <w:lang w:eastAsia="zh-CN"/>
        </w:rPr>
        <w:t>为</w:t>
      </w:r>
      <w:bookmarkEnd w:id="14"/>
      <w:r>
        <w:rPr>
          <w:rFonts w:hint="eastAsia" w:ascii="仿宋_GB2312" w:hAnsi="仿宋_GB2312" w:eastAsia="仿宋_GB2312" w:cs="仿宋_GB2312"/>
          <w:color w:val="auto"/>
          <w:sz w:val="28"/>
          <w:szCs w:val="28"/>
          <w:lang w:val="en-US" w:eastAsia="zh-CN"/>
        </w:rPr>
        <w:t>17.5396</w:t>
      </w:r>
      <w:r>
        <w:rPr>
          <w:rFonts w:hint="eastAsia" w:ascii="仿宋_GB2312" w:hAnsi="仿宋_GB2312" w:eastAsia="仿宋_GB2312" w:cs="仿宋_GB2312"/>
          <w:color w:val="auto"/>
          <w:sz w:val="28"/>
          <w:szCs w:val="28"/>
          <w:lang w:eastAsia="zh-CN"/>
        </w:rPr>
        <w:t>公顷，土地复垦率100%。</w:t>
      </w:r>
    </w:p>
    <w:p w14:paraId="652639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3、矿区土地适宜性评价</w:t>
      </w:r>
    </w:p>
    <w:p w14:paraId="62D1C85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本方案复垦适宜性评价范围为复垦责任区，合计面积</w:t>
      </w:r>
      <w:r>
        <w:rPr>
          <w:rFonts w:hint="eastAsia" w:ascii="仿宋_GB2312" w:hAnsi="仿宋_GB2312" w:eastAsia="仿宋_GB2312" w:cs="仿宋_GB2312"/>
          <w:color w:val="auto"/>
          <w:sz w:val="28"/>
          <w:szCs w:val="28"/>
          <w:lang w:val="en-US" w:eastAsia="zh-CN"/>
        </w:rPr>
        <w:t>17.5396</w:t>
      </w:r>
      <w:r>
        <w:rPr>
          <w:rFonts w:hint="eastAsia" w:ascii="仿宋_GB2312" w:hAnsi="仿宋_GB2312" w:eastAsia="仿宋_GB2312" w:cs="仿宋_GB2312"/>
          <w:color w:val="auto"/>
          <w:sz w:val="28"/>
          <w:szCs w:val="28"/>
          <w:lang w:eastAsia="zh-CN"/>
        </w:rPr>
        <w:t>公顷，包括</w:t>
      </w:r>
      <w:r>
        <w:rPr>
          <w:rFonts w:hint="eastAsia" w:ascii="仿宋_GB2312" w:hAnsi="仿宋_GB2312" w:eastAsia="仿宋_GB2312" w:cs="仿宋_GB2312"/>
          <w:color w:val="auto"/>
          <w:sz w:val="28"/>
          <w:szCs w:val="28"/>
          <w:lang w:val="en-US" w:eastAsia="zh-CN"/>
        </w:rPr>
        <w:t>规划露天采场、工业广场、办公生活区、废石堆放场</w:t>
      </w:r>
      <w:r>
        <w:rPr>
          <w:rFonts w:hint="eastAsia" w:ascii="仿宋_GB2312" w:hAnsi="仿宋_GB2312" w:eastAsia="仿宋_GB2312" w:cs="仿宋_GB2312"/>
          <w:color w:val="auto"/>
          <w:sz w:val="28"/>
          <w:szCs w:val="28"/>
          <w:lang w:eastAsia="zh-CN"/>
        </w:rPr>
        <w:t>，确定损毁土地的复垦方向以恢复原功能为主，即复垦为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lang w:eastAsia="zh-CN"/>
        </w:rPr>
        <w:t>。</w:t>
      </w:r>
    </w:p>
    <w:p w14:paraId="0D7CDD2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4、矿区水土资源平衡分析</w:t>
      </w:r>
    </w:p>
    <w:p w14:paraId="78EE935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本项目土地复垦方向为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lang w:eastAsia="zh-CN"/>
        </w:rPr>
        <w:t>。</w:t>
      </w:r>
    </w:p>
    <w:p w14:paraId="6D0B8FD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（1）本项目土地复垦方向为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lang w:eastAsia="zh-CN"/>
        </w:rPr>
        <w:t>需要种植植被，复垦过程中</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lang w:eastAsia="zh-CN"/>
        </w:rPr>
        <w:t>需灌溉浇水。</w:t>
      </w:r>
    </w:p>
    <w:p w14:paraId="57300E7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（2）矿山土地复垦方向为裸岩石砾地，不需要种植植被，复垦工程不涉及表层土剥覆工程。</w:t>
      </w:r>
    </w:p>
    <w:p w14:paraId="78474E6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（3）①现状废石</w:t>
      </w:r>
    </w:p>
    <w:p w14:paraId="43FD256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矿山为延续矿山，现状有废石堆放，位于矿区西北的废石堆放场内，约2万立方米。</w:t>
      </w:r>
    </w:p>
    <w:p w14:paraId="4BFFA2E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②生产期废石量</w:t>
      </w:r>
    </w:p>
    <w:p w14:paraId="6F81DAB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该建筑用砂矿的矿石利用率（成品回收率）为57.13％，废弃率为42.87％。年产废石为2.57万立方米，服务年限内产生21.68万立方米废石。</w:t>
      </w:r>
    </w:p>
    <w:p w14:paraId="268B966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产生的废石全部回填至采坑内，优先回填开采区采坑。产生的废石可以完全回填至采坑内。</w:t>
      </w:r>
      <w:r>
        <w:rPr>
          <w:rFonts w:hint="eastAsia" w:ascii="仿宋_GB2312" w:hAnsi="仿宋_GB2312" w:eastAsia="仿宋_GB2312" w:cs="仿宋_GB2312"/>
          <w:color w:val="auto"/>
          <w:sz w:val="28"/>
          <w:szCs w:val="28"/>
          <w:lang w:val="en-US" w:eastAsia="zh-CN"/>
        </w:rPr>
        <w:t xml:space="preserve">        </w:t>
      </w:r>
      <w:bookmarkStart w:id="18" w:name="_GoBack"/>
      <w:bookmarkEnd w:id="18"/>
    </w:p>
    <w:p w14:paraId="1D3B2BB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5、土地复垦工程措施</w:t>
      </w:r>
    </w:p>
    <w:p w14:paraId="4B63CF4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bookmarkStart w:id="15" w:name="_Hlk92294388"/>
      <w:r>
        <w:rPr>
          <w:rFonts w:hint="eastAsia" w:ascii="仿宋_GB2312" w:hAnsi="仿宋_GB2312" w:eastAsia="仿宋_GB2312" w:cs="仿宋_GB2312"/>
          <w:color w:val="auto"/>
          <w:sz w:val="28"/>
          <w:szCs w:val="28"/>
          <w:lang w:eastAsia="zh-CN"/>
        </w:rPr>
        <w:t>本方案划分</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个土地复垦单元，分别为</w:t>
      </w:r>
      <w:r>
        <w:rPr>
          <w:rFonts w:hint="eastAsia" w:ascii="仿宋_GB2312" w:hAnsi="仿宋_GB2312" w:eastAsia="仿宋_GB2312" w:cs="仿宋_GB2312"/>
          <w:color w:val="auto"/>
          <w:sz w:val="28"/>
          <w:szCs w:val="28"/>
          <w:lang w:val="en-US" w:eastAsia="zh-CN"/>
        </w:rPr>
        <w:t>规划露天采场、工业广场、办公生活区、废石堆放场</w:t>
      </w:r>
      <w:r>
        <w:rPr>
          <w:rFonts w:hint="eastAsia" w:ascii="仿宋_GB2312" w:hAnsi="仿宋_GB2312" w:eastAsia="仿宋_GB2312" w:cs="仿宋_GB2312"/>
          <w:color w:val="auto"/>
          <w:sz w:val="28"/>
          <w:szCs w:val="28"/>
          <w:lang w:eastAsia="zh-CN"/>
        </w:rPr>
        <w:t>。</w:t>
      </w:r>
    </w:p>
    <w:p w14:paraId="489A5EE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土地复垦措施主要包括设施和硬化层拆除清运处置、废石拉运、采坑回填、平整工程等。</w:t>
      </w:r>
      <w:bookmarkEnd w:id="15"/>
    </w:p>
    <w:p w14:paraId="6F871E3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6、土地复垦监测</w:t>
      </w:r>
    </w:p>
    <w:p w14:paraId="3B45DFB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bookmarkStart w:id="16" w:name="_Hlk92295462"/>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个待复垦单元各设置</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个监测点，主要为土地损毁监测、</w:t>
      </w:r>
      <w:r>
        <w:rPr>
          <w:rFonts w:hint="eastAsia" w:ascii="仿宋_GB2312" w:hAnsi="仿宋_GB2312" w:eastAsia="仿宋_GB2312" w:cs="仿宋_GB2312"/>
          <w:color w:val="auto"/>
          <w:sz w:val="28"/>
          <w:szCs w:val="28"/>
          <w:lang w:val="en-US" w:eastAsia="zh-CN"/>
        </w:rPr>
        <w:t>复垦效果监测、复垦植被恢复效果监测</w:t>
      </w:r>
      <w:r>
        <w:rPr>
          <w:rFonts w:hint="eastAsia" w:ascii="仿宋_GB2312" w:hAnsi="仿宋_GB2312" w:eastAsia="仿宋_GB2312" w:cs="仿宋_GB2312"/>
          <w:color w:val="auto"/>
          <w:sz w:val="28"/>
          <w:szCs w:val="28"/>
          <w:lang w:eastAsia="zh-CN"/>
        </w:rPr>
        <w:t>。监测成果由矿山企业自行管理，必须派专人长期存档、管理。</w:t>
      </w:r>
      <w:bookmarkEnd w:id="16"/>
    </w:p>
    <w:p w14:paraId="138A1C5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7、土地复垦实施年限</w:t>
      </w:r>
    </w:p>
    <w:p w14:paraId="1594205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矿山为延续矿山，本次设计无基建期，设计服务年限为8.43年，计划开采时间为2024年7月—2032年12月；计划复垦施工期为0.50年，计划施工期为2033年1月—2033年6月（冬季不适合开展土地复垦工作）。故确定《本方案》适用年限约8.93年（9年），即2024年7月—2033年6月。</w:t>
      </w:r>
    </w:p>
    <w:p w14:paraId="2803433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8、土地复垦阶段工作安排</w:t>
      </w:r>
    </w:p>
    <w:p w14:paraId="0B6A2C0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auto"/>
          <w:sz w:val="28"/>
          <w:szCs w:val="28"/>
          <w:lang w:eastAsia="zh-CN"/>
        </w:rPr>
        <w:t>矿山生产期主要进行土地损毁监测，待矿山闭矿后立即全面开展土地复垦工程。因此分</w:t>
      </w:r>
      <w:r>
        <w:rPr>
          <w:rFonts w:hint="eastAsia" w:ascii="仿宋_GB2312" w:hAnsi="仿宋_GB2312" w:eastAsia="仿宋_GB2312" w:cs="仿宋_GB2312"/>
          <w:color w:val="auto"/>
          <w:sz w:val="28"/>
          <w:szCs w:val="28"/>
          <w:lang w:val="en-US" w:eastAsia="zh-CN"/>
        </w:rPr>
        <w:t>两</w:t>
      </w:r>
      <w:r>
        <w:rPr>
          <w:rFonts w:hint="eastAsia" w:ascii="仿宋_GB2312" w:hAnsi="仿宋_GB2312" w:eastAsia="仿宋_GB2312" w:cs="仿宋_GB2312"/>
          <w:color w:val="auto"/>
          <w:sz w:val="28"/>
          <w:szCs w:val="28"/>
          <w:lang w:eastAsia="zh-CN"/>
        </w:rPr>
        <w:t>个阶段进行工作安排，即第一阶段</w:t>
      </w:r>
      <w:bookmarkStart w:id="17" w:name="_Hlk84521096"/>
      <w:r>
        <w:rPr>
          <w:rFonts w:hint="eastAsia" w:ascii="仿宋_GB2312" w:hAnsi="仿宋_GB2312" w:eastAsia="仿宋_GB2312" w:cs="仿宋_GB2312"/>
          <w:color w:val="auto"/>
          <w:sz w:val="28"/>
          <w:szCs w:val="28"/>
          <w:lang w:eastAsia="zh-CN"/>
        </w:rPr>
        <w:t>自2024年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月—20</w:t>
      </w: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eastAsia="zh-CN"/>
        </w:rPr>
        <w:t>月，为矿山生产服务期，主要</w:t>
      </w:r>
      <w:r>
        <w:rPr>
          <w:rFonts w:hint="eastAsia" w:ascii="仿宋_GB2312" w:hAnsi="仿宋_GB2312" w:eastAsia="仿宋_GB2312" w:cs="仿宋_GB2312"/>
          <w:color w:val="auto"/>
          <w:sz w:val="28"/>
          <w:szCs w:val="28"/>
          <w:lang w:val="en-US" w:eastAsia="zh-CN"/>
        </w:rPr>
        <w:t>完成基建工作，</w:t>
      </w:r>
      <w:r>
        <w:rPr>
          <w:rFonts w:hint="eastAsia" w:ascii="仿宋_GB2312" w:hAnsi="仿宋_GB2312" w:eastAsia="仿宋_GB2312" w:cs="仿宋_GB2312"/>
          <w:color w:val="auto"/>
          <w:sz w:val="28"/>
          <w:szCs w:val="28"/>
          <w:lang w:eastAsia="zh-CN"/>
        </w:rPr>
        <w:t>对各复垦单元进行土地损毁监测，</w:t>
      </w:r>
      <w:r>
        <w:rPr>
          <w:rFonts w:hint="eastAsia" w:ascii="仿宋_GB2312" w:hAnsi="仿宋_GB2312" w:eastAsia="仿宋_GB2312" w:cs="仿宋_GB2312"/>
          <w:color w:val="auto"/>
          <w:sz w:val="28"/>
          <w:szCs w:val="28"/>
          <w:lang w:val="en-US" w:eastAsia="zh-CN"/>
        </w:rPr>
        <w:t>进行场地平整</w:t>
      </w:r>
      <w:r>
        <w:rPr>
          <w:rFonts w:hint="eastAsia" w:ascii="仿宋_GB2312" w:hAnsi="仿宋_GB2312" w:eastAsia="仿宋_GB2312" w:cs="仿宋_GB2312"/>
          <w:color w:val="auto"/>
          <w:sz w:val="28"/>
          <w:szCs w:val="28"/>
          <w:lang w:eastAsia="zh-CN"/>
        </w:rPr>
        <w:t>；第二阶段20</w:t>
      </w: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月—20</w:t>
      </w: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月，为矿山</w:t>
      </w:r>
      <w:r>
        <w:rPr>
          <w:rFonts w:hint="eastAsia" w:ascii="仿宋_GB2312" w:hAnsi="仿宋_GB2312" w:eastAsia="仿宋_GB2312" w:cs="仿宋_GB2312"/>
          <w:color w:val="auto"/>
          <w:sz w:val="28"/>
          <w:szCs w:val="28"/>
          <w:lang w:val="en-US" w:eastAsia="zh-CN"/>
        </w:rPr>
        <w:t>复垦期</w:t>
      </w:r>
      <w:bookmarkEnd w:id="17"/>
      <w:r>
        <w:rPr>
          <w:rFonts w:hint="eastAsia" w:ascii="仿宋_GB2312" w:hAnsi="仿宋_GB2312" w:eastAsia="仿宋_GB2312" w:cs="仿宋_GB2312"/>
          <w:color w:val="auto"/>
          <w:sz w:val="28"/>
          <w:szCs w:val="28"/>
          <w:lang w:eastAsia="zh-CN"/>
        </w:rPr>
        <w:t>，继续对损毁区域进行土地损毁监测，</w:t>
      </w:r>
      <w:r>
        <w:rPr>
          <w:rFonts w:hint="eastAsia" w:ascii="仿宋_GB2312" w:hAnsi="仿宋_GB2312" w:eastAsia="仿宋_GB2312" w:cs="仿宋_GB2312"/>
          <w:color w:val="auto"/>
          <w:sz w:val="28"/>
          <w:szCs w:val="28"/>
          <w:lang w:val="en-US" w:eastAsia="zh-CN"/>
        </w:rPr>
        <w:t>复垦</w:t>
      </w:r>
      <w:r>
        <w:rPr>
          <w:rFonts w:hint="eastAsia" w:ascii="仿宋_GB2312" w:hAnsi="仿宋_GB2312" w:eastAsia="仿宋_GB2312" w:cs="仿宋_GB2312"/>
          <w:color w:val="auto"/>
          <w:sz w:val="28"/>
          <w:szCs w:val="28"/>
          <w:lang w:eastAsia="zh-CN"/>
        </w:rPr>
        <w:t>期对损毁区域采取砌体拆除、土地平整等措施。</w:t>
      </w:r>
    </w:p>
    <w:p w14:paraId="461BAE5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textAlignment w:val="baseline"/>
        <w:outlineLvl w:val="0"/>
        <w:rPr>
          <w:rFonts w:hint="eastAsia" w:ascii="黑体" w:hAnsi="黑体" w:eastAsia="黑体" w:cs="黑体"/>
          <w:b w:val="0"/>
          <w:bCs w:val="0"/>
          <w:color w:val="000000" w:themeColor="text1"/>
          <w:szCs w:val="28"/>
          <w14:textFill>
            <w14:solidFill>
              <w14:schemeClr w14:val="tx1"/>
            </w14:solidFill>
          </w14:textFill>
        </w:rPr>
      </w:pPr>
      <w:r>
        <w:rPr>
          <w:rFonts w:hint="eastAsia" w:ascii="黑体" w:hAnsi="黑体" w:eastAsia="黑体" w:cs="黑体"/>
          <w:b w:val="0"/>
          <w:bCs w:val="0"/>
          <w:color w:val="000000" w:themeColor="text1"/>
          <w:szCs w:val="28"/>
          <w14:textFill>
            <w14:solidFill>
              <w14:schemeClr w14:val="tx1"/>
            </w14:solidFill>
          </w14:textFill>
        </w:rPr>
        <w:t>九、技术经济指标</w:t>
      </w:r>
    </w:p>
    <w:p w14:paraId="1A90B6E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开发利用方案依据的地质资料可靠，矿山开采条件及其他外部条件好，设计采用的开采方式、开拓运输方案、采剥方法及开采工艺符合矿山实际，合理可行。矿山建成后有较好的经济效益和社会效益。</w:t>
      </w:r>
    </w:p>
    <w:p w14:paraId="38CE452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本矿山地质环境保护与土地复垦工程静态总投资223.54万元，动态总投资238.13万元。其中矿山地质环境保护和治理工程静态总投资估算费用约45.43万元，动态投资48.41万元；土地复垦工程静态总投资为178.11万元，动态投资189.72万元。</w:t>
      </w:r>
    </w:p>
    <w:p w14:paraId="0CA40B7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textAlignment w:val="baseline"/>
        <w:outlineLvl w:val="0"/>
        <w:rPr>
          <w:rFonts w:hint="eastAsia" w:ascii="黑体" w:hAnsi="黑体" w:eastAsia="黑体" w:cs="黑体"/>
          <w:b w:val="0"/>
          <w:bCs w:val="0"/>
          <w:color w:val="000000" w:themeColor="text1"/>
          <w:szCs w:val="28"/>
          <w14:textFill>
            <w14:solidFill>
              <w14:schemeClr w14:val="tx1"/>
            </w14:solidFill>
          </w14:textFill>
        </w:rPr>
      </w:pPr>
      <w:r>
        <w:rPr>
          <w:rFonts w:hint="eastAsia" w:ascii="黑体" w:hAnsi="黑体" w:eastAsia="黑体" w:cs="黑体"/>
          <w:b w:val="0"/>
          <w:bCs w:val="0"/>
          <w:color w:val="000000" w:themeColor="text1"/>
          <w:szCs w:val="28"/>
          <w14:textFill>
            <w14:solidFill>
              <w14:schemeClr w14:val="tx1"/>
            </w14:solidFill>
          </w14:textFill>
        </w:rPr>
        <w:t>十、存在的问题及建议</w:t>
      </w:r>
    </w:p>
    <w:p w14:paraId="679EE86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在矿山开采过程中，严格按照开发利用设计的方法开采，开采中尽可能减少固体废弃物的排放，这样既能改善矿山环境，又可为今后的集中治理节约财力、物力，从而达到矿业开发与矿山环境保护和谐发展的目的。</w:t>
      </w:r>
    </w:p>
    <w:p w14:paraId="7650126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、矿山开采过程中，尽量减少对水土环境污染，及时恢复损毁用地的土地功能。严格按照相关规范要求，尽量减少废污水的产生。</w:t>
      </w:r>
    </w:p>
    <w:p w14:paraId="4128BDE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、矿山工作人员在日常巡视过程中，对铁丝网围栏、警示牌等进行</w:t>
      </w:r>
      <w:r>
        <w:rPr>
          <w:rFonts w:hint="eastAsia" w:ascii="仿宋_GB2312" w:hAnsi="仿宋_GB2312" w:eastAsia="仿宋_GB2312" w:cs="仿宋_GB2312"/>
          <w:color w:val="auto"/>
          <w:sz w:val="28"/>
          <w:szCs w:val="28"/>
          <w:lang w:val="en-US" w:eastAsia="zh-CN"/>
        </w:rPr>
        <w:t>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如有</w:t>
      </w:r>
      <w:r>
        <w:rPr>
          <w:rFonts w:hint="eastAsia" w:ascii="仿宋_GB2312" w:hAnsi="仿宋_GB2312" w:eastAsia="仿宋_GB2312" w:cs="仿宋_GB2312"/>
          <w:color w:val="auto"/>
          <w:sz w:val="28"/>
          <w:szCs w:val="28"/>
          <w:lang w:eastAsia="zh-CN"/>
        </w:rPr>
        <w:t>损坏</w:t>
      </w:r>
      <w:r>
        <w:rPr>
          <w:rFonts w:hint="eastAsia" w:ascii="仿宋_GB2312" w:hAnsi="仿宋_GB2312" w:eastAsia="仿宋_GB2312" w:cs="仿宋_GB2312"/>
          <w:color w:val="auto"/>
          <w:sz w:val="28"/>
          <w:szCs w:val="28"/>
          <w:lang w:val="en-US" w:eastAsia="zh-CN"/>
        </w:rPr>
        <w:t>需</w:t>
      </w:r>
      <w:r>
        <w:rPr>
          <w:rFonts w:hint="eastAsia" w:ascii="仿宋_GB2312" w:hAnsi="仿宋_GB2312" w:eastAsia="仿宋_GB2312" w:cs="仿宋_GB2312"/>
          <w:color w:val="auto"/>
          <w:sz w:val="28"/>
          <w:szCs w:val="28"/>
          <w:lang w:eastAsia="zh-CN"/>
        </w:rPr>
        <w:t>及时进行修补及更换。按方案设计对含水层、地形地貌及水土环境污染进行监测，发现问题及时上报并处理。</w:t>
      </w:r>
    </w:p>
    <w:p w14:paraId="189485D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本方案设计工程量及投资仅为初步估算，具体实施时应请有资质单位按各项相关工程的设计规定进行设计、施工，并验收合格后投入使用。考虑到未来情况的多变性、物价涨幅等情况，对于方案设计投资估算仅供参考。</w:t>
      </w:r>
    </w:p>
    <w:p w14:paraId="033D822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方案中设计的治理措施在矿山企业实施后，可防治地质灾害，在不可控因素下可能发生地表变形等次生灾害；应按本方案要求，认真组织落实，配合当地行政主管部门，做好方案实施的监理、监测和监督工作，严格执行工程监理制度，对各类措施的实施进度、质量和资金使用情况进行监督管理，以保证工程质量。</w:t>
      </w:r>
    </w:p>
    <w:p w14:paraId="58DC5E1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在方案适用期内，若矿山范围变更、开采规模及开采方式有变动时，应重新编写治理方案。本次矿山环境问题的调查时间为2024年5月，进行下一个规划期方案编制时，要对矿山人文、社会及环境情况重新进行调查，确保方案数据的准确性。</w:t>
      </w:r>
    </w:p>
    <w:p w14:paraId="4C41B25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矿山地质环境治理与土地复垦工程的投入所占企业年利润比重偏高，会对企业总体利润构成较大影响，地质环境治理与土地复垦工程经济上可行性风险较大。矿山企业应控制开采成本，提高产品质量，开拓市场，提高产品价格，增加营业收入，达到地质环境治理与土地复垦工程经济上的可行性。</w:t>
      </w:r>
    </w:p>
    <w:p w14:paraId="4836105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8、本方案不代替矿山初步设计、地质环境治理及土地复垦工程设计，建议进行工程治理时，委托相关单位对本矿山地质环境进行专项工程勘查、设计。</w:t>
      </w:r>
    </w:p>
    <w:p w14:paraId="2194817A">
      <w:pPr>
        <w:pStyle w:val="2"/>
        <w:rPr>
          <w:rFonts w:hint="eastAsia" w:ascii="仿宋_GB2312" w:hAnsi="仿宋_GB2312" w:eastAsia="仿宋_GB2312" w:cs="仿宋_GB2312"/>
          <w:color w:val="auto"/>
          <w:sz w:val="28"/>
          <w:szCs w:val="28"/>
          <w:lang w:val="en-US" w:eastAsia="zh-CN"/>
        </w:rPr>
      </w:pPr>
    </w:p>
    <w:p w14:paraId="43AB9065">
      <w:pPr>
        <w:pStyle w:val="2"/>
        <w:rPr>
          <w:rFonts w:hint="eastAsia" w:ascii="仿宋_GB2312" w:hAnsi="仿宋_GB2312" w:eastAsia="仿宋_GB2312" w:cs="仿宋_GB2312"/>
          <w:color w:val="auto"/>
          <w:sz w:val="28"/>
          <w:szCs w:val="28"/>
          <w:lang w:val="en-US" w:eastAsia="zh-CN"/>
        </w:rPr>
      </w:pPr>
    </w:p>
    <w:p w14:paraId="6B3ADEA8">
      <w:pPr>
        <w:pStyle w:val="2"/>
        <w:rPr>
          <w:rFonts w:hint="eastAsia" w:ascii="仿宋_GB2312" w:hAnsi="仿宋_GB2312" w:eastAsia="仿宋_GB2312" w:cs="仿宋_GB2312"/>
          <w:color w:val="auto"/>
          <w:sz w:val="28"/>
          <w:szCs w:val="28"/>
          <w:lang w:val="en-US" w:eastAsia="zh-CN"/>
        </w:rPr>
      </w:pPr>
    </w:p>
    <w:p w14:paraId="72218CE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textAlignment w:val="baseline"/>
        <w:rPr>
          <w:rFonts w:hint="eastAsia"/>
        </w:rPr>
      </w:pPr>
      <w:r>
        <w:rPr>
          <w:rFonts w:hint="eastAsia" w:ascii="仿宋_GB2312" w:hAnsi="仿宋_GB2312" w:eastAsia="仿宋_GB2312" w:cs="仿宋_GB2312"/>
          <w:b/>
          <w:bCs/>
          <w:color w:val="000000" w:themeColor="text1"/>
          <w:szCs w:val="28"/>
          <w14:textFill>
            <w14:solidFill>
              <w14:schemeClr w14:val="tx1"/>
            </w14:solidFill>
          </w14:textFill>
        </w:rPr>
        <w:t>附件：《</w:t>
      </w:r>
      <w:r>
        <w:rPr>
          <w:rFonts w:hint="eastAsia" w:ascii="仿宋_GB2312" w:hAnsi="仿宋_GB2312" w:eastAsia="仿宋_GB2312" w:cs="仿宋_GB2312"/>
          <w:b/>
          <w:bCs/>
          <w:color w:val="000000" w:themeColor="text1"/>
          <w:szCs w:val="28"/>
          <w:lang w:eastAsia="zh-CN"/>
          <w14:textFill>
            <w14:solidFill>
              <w14:schemeClr w14:val="tx1"/>
            </w14:solidFill>
          </w14:textFill>
        </w:rPr>
        <w:t>吐鲁番市昌顺矿业有限公司葡萄沟北侧2号建筑用砂矿</w:t>
      </w:r>
      <w:r>
        <w:rPr>
          <w:rFonts w:hint="eastAsia" w:ascii="仿宋_GB2312" w:hAnsi="仿宋_GB2312" w:eastAsia="仿宋_GB2312" w:cs="仿宋_GB2312"/>
          <w:b/>
          <w:bCs/>
          <w:color w:val="000000" w:themeColor="text1"/>
          <w:szCs w:val="28"/>
          <w14:textFill>
            <w14:solidFill>
              <w14:schemeClr w14:val="tx1"/>
            </w14:solidFill>
          </w14:textFill>
        </w:rPr>
        <w:t>矿产资源开发利用与生态保护修复方案》评审专家组名单</w:t>
      </w:r>
    </w:p>
    <w:p w14:paraId="13454AC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560"/>
        <w:textAlignment w:val="baseline"/>
        <w:rPr>
          <w:rFonts w:hint="eastAsia" w:ascii="仿宋_GB2312" w:hAnsi="仿宋_GB2312" w:eastAsia="仿宋_GB2312" w:cs="仿宋_GB2312"/>
          <w:b w:val="0"/>
          <w:bCs w:val="0"/>
          <w:color w:val="000000" w:themeColor="text1"/>
          <w:szCs w:val="28"/>
          <w14:textFill>
            <w14:solidFill>
              <w14:schemeClr w14:val="tx1"/>
            </w14:solidFill>
          </w14:textFill>
        </w:rPr>
      </w:pPr>
      <w:r>
        <w:rPr>
          <w:rFonts w:hint="eastAsia" w:ascii="仿宋_GB2312" w:hAnsi="仿宋_GB2312" w:eastAsia="仿宋_GB2312" w:cs="仿宋_GB2312"/>
          <w:b w:val="0"/>
          <w:bCs w:val="0"/>
          <w:color w:val="000000" w:themeColor="text1"/>
          <w:szCs w:val="28"/>
          <w14:textFill>
            <w14:solidFill>
              <w14:schemeClr w14:val="tx1"/>
            </w14:solidFill>
          </w14:textFill>
        </w:rPr>
        <w:t>评审专家组成员名单</w:t>
      </w:r>
    </w:p>
    <w:tbl>
      <w:tblPr>
        <w:tblStyle w:val="1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710"/>
      </w:tblGrid>
      <w:tr w14:paraId="624E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260E5454">
            <w:pPr>
              <w:widowControl w:val="0"/>
              <w:kinsoku/>
              <w:autoSpaceDE/>
              <w:autoSpaceDN/>
              <w:adjustRightInd/>
              <w:snapToGrid/>
              <w:ind w:left="0" w:leftChars="0" w:firstLine="0" w:firstLineChars="0"/>
              <w:jc w:val="center"/>
              <w:textAlignment w:val="auto"/>
              <w:rPr>
                <w:rFonts w:hint="eastAsia" w:ascii="宋体" w:hAnsi="宋体" w:eastAsia="宋体" w:cs="宋体"/>
                <w:b w:val="0"/>
                <w:bCs w:val="0"/>
                <w:snapToGrid/>
                <w:color w:val="000000" w:themeColor="text1"/>
                <w:kern w:val="2"/>
                <w:sz w:val="24"/>
                <w:szCs w:val="24"/>
                <w14:textFill>
                  <w14:solidFill>
                    <w14:schemeClr w14:val="tx1"/>
                  </w14:solidFill>
                </w14:textFill>
              </w:rPr>
            </w:pPr>
            <w:r>
              <w:rPr>
                <w:rFonts w:hint="eastAsia" w:ascii="宋体" w:hAnsi="宋体" w:eastAsia="宋体" w:cs="宋体"/>
                <w:b w:val="0"/>
                <w:bCs w:val="0"/>
                <w:snapToGrid/>
                <w:color w:val="000000" w:themeColor="text1"/>
                <w:kern w:val="2"/>
                <w:sz w:val="24"/>
                <w:szCs w:val="24"/>
                <w14:textFill>
                  <w14:solidFill>
                    <w14:schemeClr w14:val="tx1"/>
                  </w14:solidFill>
                </w14:textFill>
              </w:rPr>
              <w:t>姓  名</w:t>
            </w:r>
          </w:p>
        </w:tc>
        <w:tc>
          <w:tcPr>
            <w:tcW w:w="2126" w:type="dxa"/>
            <w:vAlign w:val="center"/>
          </w:tcPr>
          <w:p w14:paraId="33C51F87">
            <w:pPr>
              <w:widowControl w:val="0"/>
              <w:kinsoku/>
              <w:autoSpaceDE/>
              <w:autoSpaceDN/>
              <w:adjustRightInd/>
              <w:snapToGrid/>
              <w:ind w:left="0" w:leftChars="0" w:firstLine="0" w:firstLineChars="0"/>
              <w:jc w:val="center"/>
              <w:textAlignment w:val="auto"/>
              <w:rPr>
                <w:rFonts w:hint="eastAsia" w:ascii="宋体" w:hAnsi="宋体" w:eastAsia="宋体" w:cs="宋体"/>
                <w:b w:val="0"/>
                <w:bCs w:val="0"/>
                <w:snapToGrid/>
                <w:color w:val="000000" w:themeColor="text1"/>
                <w:kern w:val="2"/>
                <w:sz w:val="24"/>
                <w:szCs w:val="24"/>
                <w14:textFill>
                  <w14:solidFill>
                    <w14:schemeClr w14:val="tx1"/>
                  </w14:solidFill>
                </w14:textFill>
              </w:rPr>
            </w:pPr>
            <w:r>
              <w:rPr>
                <w:rFonts w:hint="eastAsia" w:ascii="宋体" w:hAnsi="宋体" w:eastAsia="宋体" w:cs="宋体"/>
                <w:b w:val="0"/>
                <w:bCs w:val="0"/>
                <w:snapToGrid/>
                <w:color w:val="000000" w:themeColor="text1"/>
                <w:kern w:val="2"/>
                <w:sz w:val="24"/>
                <w:szCs w:val="24"/>
                <w14:textFill>
                  <w14:solidFill>
                    <w14:schemeClr w14:val="tx1"/>
                  </w14:solidFill>
                </w14:textFill>
              </w:rPr>
              <w:t>专家组成员</w:t>
            </w:r>
          </w:p>
        </w:tc>
        <w:tc>
          <w:tcPr>
            <w:tcW w:w="2126" w:type="dxa"/>
            <w:vAlign w:val="center"/>
          </w:tcPr>
          <w:p w14:paraId="4A8A1338">
            <w:pPr>
              <w:widowControl w:val="0"/>
              <w:kinsoku/>
              <w:autoSpaceDE/>
              <w:autoSpaceDN/>
              <w:adjustRightInd/>
              <w:snapToGrid/>
              <w:ind w:left="0" w:leftChars="0" w:firstLine="0" w:firstLineChars="0"/>
              <w:jc w:val="center"/>
              <w:textAlignment w:val="auto"/>
              <w:rPr>
                <w:rFonts w:hint="eastAsia" w:ascii="宋体" w:hAnsi="宋体" w:eastAsia="宋体" w:cs="宋体"/>
                <w:b w:val="0"/>
                <w:bCs w:val="0"/>
                <w:snapToGrid/>
                <w:color w:val="000000" w:themeColor="text1"/>
                <w:kern w:val="2"/>
                <w:sz w:val="24"/>
                <w:szCs w:val="24"/>
                <w14:textFill>
                  <w14:solidFill>
                    <w14:schemeClr w14:val="tx1"/>
                  </w14:solidFill>
                </w14:textFill>
              </w:rPr>
            </w:pPr>
            <w:r>
              <w:rPr>
                <w:rFonts w:hint="eastAsia" w:ascii="宋体" w:hAnsi="宋体" w:eastAsia="宋体" w:cs="宋体"/>
                <w:b w:val="0"/>
                <w:bCs w:val="0"/>
                <w:snapToGrid/>
                <w:color w:val="000000" w:themeColor="text1"/>
                <w:kern w:val="2"/>
                <w:sz w:val="24"/>
                <w:szCs w:val="24"/>
                <w14:textFill>
                  <w14:solidFill>
                    <w14:schemeClr w14:val="tx1"/>
                  </w14:solidFill>
                </w14:textFill>
              </w:rPr>
              <w:t>专</w:t>
            </w:r>
            <w:r>
              <w:rPr>
                <w:rFonts w:hint="eastAsia" w:ascii="宋体" w:hAnsi="宋体" w:eastAsia="宋体" w:cs="宋体"/>
                <w:b w:val="0"/>
                <w:bCs w:val="0"/>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 w:val="0"/>
                <w:bCs w:val="0"/>
                <w:snapToGrid/>
                <w:color w:val="000000" w:themeColor="text1"/>
                <w:kern w:val="2"/>
                <w:sz w:val="24"/>
                <w:szCs w:val="24"/>
                <w14:textFill>
                  <w14:solidFill>
                    <w14:schemeClr w14:val="tx1"/>
                  </w14:solidFill>
                </w14:textFill>
              </w:rPr>
              <w:t xml:space="preserve">  业</w:t>
            </w:r>
          </w:p>
        </w:tc>
        <w:tc>
          <w:tcPr>
            <w:tcW w:w="2710" w:type="dxa"/>
            <w:vAlign w:val="center"/>
          </w:tcPr>
          <w:p w14:paraId="7D6A13F3">
            <w:pPr>
              <w:widowControl w:val="0"/>
              <w:kinsoku/>
              <w:autoSpaceDE/>
              <w:autoSpaceDN/>
              <w:adjustRightInd/>
              <w:snapToGrid/>
              <w:ind w:left="0" w:leftChars="0" w:firstLine="0" w:firstLineChars="0"/>
              <w:jc w:val="center"/>
              <w:textAlignment w:val="auto"/>
              <w:rPr>
                <w:rFonts w:hint="eastAsia" w:ascii="宋体" w:hAnsi="宋体" w:eastAsia="宋体" w:cs="宋体"/>
                <w:b w:val="0"/>
                <w:bCs w:val="0"/>
                <w:snapToGrid/>
                <w:color w:val="000000" w:themeColor="text1"/>
                <w:kern w:val="2"/>
                <w:sz w:val="24"/>
                <w:szCs w:val="24"/>
                <w14:textFill>
                  <w14:solidFill>
                    <w14:schemeClr w14:val="tx1"/>
                  </w14:solidFill>
                </w14:textFill>
              </w:rPr>
            </w:pPr>
            <w:r>
              <w:rPr>
                <w:rFonts w:hint="eastAsia" w:ascii="宋体" w:hAnsi="宋体" w:eastAsia="宋体" w:cs="宋体"/>
                <w:b w:val="0"/>
                <w:bCs w:val="0"/>
                <w:snapToGrid/>
                <w:color w:val="000000" w:themeColor="text1"/>
                <w:kern w:val="2"/>
                <w:sz w:val="24"/>
                <w:szCs w:val="24"/>
                <w14:textFill>
                  <w14:solidFill>
                    <w14:schemeClr w14:val="tx1"/>
                  </w14:solidFill>
                </w14:textFill>
              </w:rPr>
              <w:t>技术职称</w:t>
            </w:r>
          </w:p>
        </w:tc>
      </w:tr>
      <w:tr w14:paraId="1377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58422EF8">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程学斌</w:t>
            </w:r>
          </w:p>
        </w:tc>
        <w:tc>
          <w:tcPr>
            <w:tcW w:w="2126" w:type="dxa"/>
            <w:vAlign w:val="center"/>
          </w:tcPr>
          <w:p w14:paraId="3BAE276C">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组    长</w:t>
            </w:r>
          </w:p>
        </w:tc>
        <w:tc>
          <w:tcPr>
            <w:tcW w:w="2126" w:type="dxa"/>
            <w:vAlign w:val="center"/>
          </w:tcPr>
          <w:p w14:paraId="16263514">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采矿工程</w:t>
            </w:r>
          </w:p>
        </w:tc>
        <w:tc>
          <w:tcPr>
            <w:tcW w:w="2710" w:type="dxa"/>
            <w:vAlign w:val="center"/>
          </w:tcPr>
          <w:p w14:paraId="666C9E0D">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0120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49C35CA7">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 xml:space="preserve">周建成    </w:t>
            </w:r>
          </w:p>
        </w:tc>
        <w:tc>
          <w:tcPr>
            <w:tcW w:w="2126" w:type="dxa"/>
            <w:vAlign w:val="center"/>
          </w:tcPr>
          <w:p w14:paraId="73EF9A10">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421E48EC">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地质矿产</w:t>
            </w:r>
          </w:p>
        </w:tc>
        <w:tc>
          <w:tcPr>
            <w:tcW w:w="2710" w:type="dxa"/>
            <w:vAlign w:val="center"/>
          </w:tcPr>
          <w:p w14:paraId="4D43ACA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7FA2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2FF9A83F">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齐万秋</w:t>
            </w:r>
          </w:p>
        </w:tc>
        <w:tc>
          <w:tcPr>
            <w:tcW w:w="2126" w:type="dxa"/>
            <w:vAlign w:val="center"/>
          </w:tcPr>
          <w:p w14:paraId="501B2C62">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310CB7DB">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水 工 环</w:t>
            </w:r>
          </w:p>
        </w:tc>
        <w:tc>
          <w:tcPr>
            <w:tcW w:w="2710" w:type="dxa"/>
            <w:vAlign w:val="center"/>
          </w:tcPr>
          <w:p w14:paraId="450BB24E">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777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2B8FF2CD">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刘湘茹</w:t>
            </w:r>
          </w:p>
        </w:tc>
        <w:tc>
          <w:tcPr>
            <w:tcW w:w="2126" w:type="dxa"/>
            <w:vAlign w:val="center"/>
          </w:tcPr>
          <w:p w14:paraId="69734D9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7AB22D1F">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土地复垦</w:t>
            </w:r>
          </w:p>
        </w:tc>
        <w:tc>
          <w:tcPr>
            <w:tcW w:w="2710" w:type="dxa"/>
            <w:vAlign w:val="center"/>
          </w:tcPr>
          <w:p w14:paraId="78D418F5">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638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2146" w:type="dxa"/>
            <w:vAlign w:val="center"/>
          </w:tcPr>
          <w:p w14:paraId="36233C21">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陈红霞</w:t>
            </w:r>
          </w:p>
        </w:tc>
        <w:tc>
          <w:tcPr>
            <w:tcW w:w="2126" w:type="dxa"/>
            <w:vAlign w:val="center"/>
          </w:tcPr>
          <w:p w14:paraId="497F8874">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5FDE6B71">
            <w:pPr>
              <w:widowControl w:val="0"/>
              <w:tabs>
                <w:tab w:val="left" w:pos="258"/>
                <w:tab w:val="center" w:pos="1015"/>
              </w:tabs>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技术经济</w:t>
            </w:r>
          </w:p>
        </w:tc>
        <w:tc>
          <w:tcPr>
            <w:tcW w:w="2710" w:type="dxa"/>
            <w:vAlign w:val="center"/>
          </w:tcPr>
          <w:p w14:paraId="25AA3EEE">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高级经济师</w:t>
            </w:r>
          </w:p>
        </w:tc>
      </w:tr>
    </w:tbl>
    <w:p w14:paraId="47691C49">
      <w:pPr>
        <w:ind w:firstLine="560"/>
        <w:rPr>
          <w:rFonts w:hint="eastAsia" w:ascii="仿宋_GB2312" w:hAnsi="仿宋_GB2312" w:eastAsia="仿宋_GB2312" w:cs="仿宋_GB2312"/>
          <w:color w:val="000000" w:themeColor="text1"/>
          <w:szCs w:val="28"/>
          <w14:textFill>
            <w14:solidFill>
              <w14:schemeClr w14:val="tx1"/>
            </w14:solidFill>
          </w14:textFill>
        </w:rPr>
      </w:pPr>
    </w:p>
    <w:sectPr>
      <w:footerReference r:id="rId13" w:type="default"/>
      <w:pgSz w:w="11907" w:h="16839"/>
      <w:pgMar w:top="1421" w:right="1414" w:bottom="1341" w:left="1428" w:header="0" w:footer="11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1F8B0D-E7D7-4A26-9EAE-839600DD3E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D23272DA-4AF2-4CD8-99A1-7A672D09EB50}"/>
  </w:font>
  <w:font w:name="仿宋_GB2312">
    <w:panose1 w:val="02010609030101010101"/>
    <w:charset w:val="86"/>
    <w:family w:val="modern"/>
    <w:pitch w:val="default"/>
    <w:sig w:usb0="00000001" w:usb1="080E0000" w:usb2="00000000" w:usb3="00000000" w:csb0="00040000" w:csb1="00000000"/>
    <w:embedRegular r:id="rId3" w:fontKey="{4CF85C76-F15B-4F2A-974E-ECEF42906A25}"/>
  </w:font>
  <w:font w:name="方正大标宋简体">
    <w:panose1 w:val="02000000000000000000"/>
    <w:charset w:val="86"/>
    <w:family w:val="auto"/>
    <w:pitch w:val="default"/>
    <w:sig w:usb0="A00002BF" w:usb1="184F6CFA" w:usb2="00000012" w:usb3="00000000" w:csb0="00040001" w:csb1="00000000"/>
    <w:embedRegular r:id="rId4" w:fontKey="{454EC4DA-7445-4E8B-8ED0-E469468D5A17}"/>
  </w:font>
  <w:font w:name="楷体">
    <w:panose1 w:val="02010609060101010101"/>
    <w:charset w:val="86"/>
    <w:family w:val="auto"/>
    <w:pitch w:val="default"/>
    <w:sig w:usb0="800002BF" w:usb1="38CF7CFA" w:usb2="00000016" w:usb3="00000000" w:csb0="00040001" w:csb1="00000000"/>
    <w:embedRegular r:id="rId5" w:fontKey="{F6772A1A-D578-43A0-BD88-32336F159E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EB43">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237E">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BCFD">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CC27">
    <w:pPr>
      <w:pStyle w:val="14"/>
      <w:ind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2C24">
    <w:pPr>
      <w:pStyle w:val="14"/>
      <w:ind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0AB4">
    <w:pPr>
      <w:pStyle w:val="14"/>
      <w:ind w:firstLine="360"/>
      <w:jc w:val="center"/>
    </w:pPr>
    <w:r>
      <w:fldChar w:fldCharType="begin"/>
    </w:r>
    <w:r>
      <w:instrText xml:space="preserve">PAGE   \* MERGEFORMAT</w:instrText>
    </w:r>
    <w:r>
      <w:fldChar w:fldCharType="separate"/>
    </w:r>
    <w:r>
      <w:rPr>
        <w:lang w:val="zh-CN"/>
      </w:rPr>
      <w:t>17</w:t>
    </w:r>
    <w:r>
      <w:fldChar w:fldCharType="end"/>
    </w:r>
  </w:p>
  <w:p w14:paraId="5B274E5F">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C42B">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649E">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039A">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12"/>
      <w:lvlText w:val="%1."/>
      <w:lvlJc w:val="left"/>
      <w:pPr>
        <w:tabs>
          <w:tab w:val="left" w:pos="2040"/>
        </w:tabs>
        <w:ind w:left="2040" w:hanging="360"/>
      </w:pPr>
    </w:lvl>
  </w:abstractNum>
  <w:abstractNum w:abstractNumId="1">
    <w:nsid w:val="FCFAC9DD"/>
    <w:multiLevelType w:val="singleLevel"/>
    <w:tmpl w:val="FCFAC9D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1380D"/>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B1982"/>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1282E62"/>
    <w:rsid w:val="01453A14"/>
    <w:rsid w:val="015A3576"/>
    <w:rsid w:val="015B6D94"/>
    <w:rsid w:val="016056CA"/>
    <w:rsid w:val="017240DE"/>
    <w:rsid w:val="01787946"/>
    <w:rsid w:val="0179546C"/>
    <w:rsid w:val="017E6F26"/>
    <w:rsid w:val="01A249C3"/>
    <w:rsid w:val="01D152A8"/>
    <w:rsid w:val="01E7687A"/>
    <w:rsid w:val="020A35B3"/>
    <w:rsid w:val="020E2058"/>
    <w:rsid w:val="02443CCC"/>
    <w:rsid w:val="0261662C"/>
    <w:rsid w:val="026779BA"/>
    <w:rsid w:val="026C5261"/>
    <w:rsid w:val="02902A6D"/>
    <w:rsid w:val="029F7154"/>
    <w:rsid w:val="02B96468"/>
    <w:rsid w:val="02CD36F4"/>
    <w:rsid w:val="02E828A9"/>
    <w:rsid w:val="02FC45A7"/>
    <w:rsid w:val="0301396B"/>
    <w:rsid w:val="0317318F"/>
    <w:rsid w:val="033755DF"/>
    <w:rsid w:val="038D3451"/>
    <w:rsid w:val="03991DF6"/>
    <w:rsid w:val="03C50E3C"/>
    <w:rsid w:val="03CA0201"/>
    <w:rsid w:val="03CA6453"/>
    <w:rsid w:val="03CF3A69"/>
    <w:rsid w:val="03E94B2B"/>
    <w:rsid w:val="03F4702C"/>
    <w:rsid w:val="042E69E2"/>
    <w:rsid w:val="043D4E77"/>
    <w:rsid w:val="04620439"/>
    <w:rsid w:val="04974587"/>
    <w:rsid w:val="04EF43C3"/>
    <w:rsid w:val="04F05A45"/>
    <w:rsid w:val="04F9561C"/>
    <w:rsid w:val="050140F6"/>
    <w:rsid w:val="05031C1C"/>
    <w:rsid w:val="052F2A11"/>
    <w:rsid w:val="052F5AAA"/>
    <w:rsid w:val="054A15F9"/>
    <w:rsid w:val="05571F68"/>
    <w:rsid w:val="058B594E"/>
    <w:rsid w:val="05B253F0"/>
    <w:rsid w:val="05B60A3D"/>
    <w:rsid w:val="05EA4B8A"/>
    <w:rsid w:val="05F475D8"/>
    <w:rsid w:val="060D2627"/>
    <w:rsid w:val="06147E59"/>
    <w:rsid w:val="062A62BD"/>
    <w:rsid w:val="06451DC1"/>
    <w:rsid w:val="064F2C3F"/>
    <w:rsid w:val="06727D6D"/>
    <w:rsid w:val="06B86A37"/>
    <w:rsid w:val="06BB2083"/>
    <w:rsid w:val="06EF389B"/>
    <w:rsid w:val="06FD269B"/>
    <w:rsid w:val="07230354"/>
    <w:rsid w:val="073C7668"/>
    <w:rsid w:val="076B5857"/>
    <w:rsid w:val="077706A0"/>
    <w:rsid w:val="0792258C"/>
    <w:rsid w:val="07A910C8"/>
    <w:rsid w:val="07BB058C"/>
    <w:rsid w:val="07C51AFC"/>
    <w:rsid w:val="07EA0E72"/>
    <w:rsid w:val="0808579C"/>
    <w:rsid w:val="0891753F"/>
    <w:rsid w:val="08CC4C0B"/>
    <w:rsid w:val="08CE609D"/>
    <w:rsid w:val="08F16230"/>
    <w:rsid w:val="09023F99"/>
    <w:rsid w:val="09554A11"/>
    <w:rsid w:val="096864F2"/>
    <w:rsid w:val="096E162E"/>
    <w:rsid w:val="096F5AD2"/>
    <w:rsid w:val="098133B4"/>
    <w:rsid w:val="09A339CE"/>
    <w:rsid w:val="09B41737"/>
    <w:rsid w:val="09C63218"/>
    <w:rsid w:val="09CF031F"/>
    <w:rsid w:val="09D41DD9"/>
    <w:rsid w:val="09DE0562"/>
    <w:rsid w:val="0A287A2F"/>
    <w:rsid w:val="0A36039E"/>
    <w:rsid w:val="0A540824"/>
    <w:rsid w:val="0A72718D"/>
    <w:rsid w:val="0A821835"/>
    <w:rsid w:val="0AC51722"/>
    <w:rsid w:val="0ACA6D38"/>
    <w:rsid w:val="0B1306DF"/>
    <w:rsid w:val="0B17653B"/>
    <w:rsid w:val="0B1D50BA"/>
    <w:rsid w:val="0B3A5853"/>
    <w:rsid w:val="0B661144"/>
    <w:rsid w:val="0B756CA4"/>
    <w:rsid w:val="0B9A670B"/>
    <w:rsid w:val="0BB35A1E"/>
    <w:rsid w:val="0BDF6813"/>
    <w:rsid w:val="0BE1433A"/>
    <w:rsid w:val="0BED0F30"/>
    <w:rsid w:val="0BF24799"/>
    <w:rsid w:val="0BF422BF"/>
    <w:rsid w:val="0C25691C"/>
    <w:rsid w:val="0C4A6383"/>
    <w:rsid w:val="0C5C1C12"/>
    <w:rsid w:val="0C9475FE"/>
    <w:rsid w:val="0C965124"/>
    <w:rsid w:val="0CA830A9"/>
    <w:rsid w:val="0CDD2D53"/>
    <w:rsid w:val="0CE642FD"/>
    <w:rsid w:val="0CF63E15"/>
    <w:rsid w:val="0D076022"/>
    <w:rsid w:val="0D0F0D92"/>
    <w:rsid w:val="0D4C7ED9"/>
    <w:rsid w:val="0D51729D"/>
    <w:rsid w:val="0D6C2329"/>
    <w:rsid w:val="0D7275B2"/>
    <w:rsid w:val="0DA9532B"/>
    <w:rsid w:val="0DBF06AB"/>
    <w:rsid w:val="0DC108C7"/>
    <w:rsid w:val="0DC21F49"/>
    <w:rsid w:val="0DD24882"/>
    <w:rsid w:val="0DE3083D"/>
    <w:rsid w:val="0E0013EF"/>
    <w:rsid w:val="0E1E7AC7"/>
    <w:rsid w:val="0E344BF5"/>
    <w:rsid w:val="0E5C239D"/>
    <w:rsid w:val="0E715E49"/>
    <w:rsid w:val="0E9471C0"/>
    <w:rsid w:val="0EBE4E06"/>
    <w:rsid w:val="0EF32D02"/>
    <w:rsid w:val="0EF95E3E"/>
    <w:rsid w:val="0F052A35"/>
    <w:rsid w:val="0F056591"/>
    <w:rsid w:val="0F1862C4"/>
    <w:rsid w:val="0F205179"/>
    <w:rsid w:val="0F3375A2"/>
    <w:rsid w:val="0F394598"/>
    <w:rsid w:val="0F4A0448"/>
    <w:rsid w:val="0F711E78"/>
    <w:rsid w:val="0F7200CA"/>
    <w:rsid w:val="0F92411F"/>
    <w:rsid w:val="0FD85A54"/>
    <w:rsid w:val="0FE4264A"/>
    <w:rsid w:val="0FE8213B"/>
    <w:rsid w:val="0FE95EB3"/>
    <w:rsid w:val="10993435"/>
    <w:rsid w:val="111331E7"/>
    <w:rsid w:val="11301FEB"/>
    <w:rsid w:val="115E01DA"/>
    <w:rsid w:val="117B0D8C"/>
    <w:rsid w:val="1196605D"/>
    <w:rsid w:val="11CC783A"/>
    <w:rsid w:val="11D010D8"/>
    <w:rsid w:val="11FF376C"/>
    <w:rsid w:val="121543C9"/>
    <w:rsid w:val="12323B41"/>
    <w:rsid w:val="124F64A1"/>
    <w:rsid w:val="126637EB"/>
    <w:rsid w:val="126A32DB"/>
    <w:rsid w:val="128679E9"/>
    <w:rsid w:val="12902616"/>
    <w:rsid w:val="129B16E6"/>
    <w:rsid w:val="12BC340B"/>
    <w:rsid w:val="12C32F26"/>
    <w:rsid w:val="130628D8"/>
    <w:rsid w:val="1312127D"/>
    <w:rsid w:val="13255454"/>
    <w:rsid w:val="13763F01"/>
    <w:rsid w:val="13C44C6D"/>
    <w:rsid w:val="13D418D5"/>
    <w:rsid w:val="13DA4490"/>
    <w:rsid w:val="13F07810"/>
    <w:rsid w:val="13FD1F2D"/>
    <w:rsid w:val="14125E20"/>
    <w:rsid w:val="14186D67"/>
    <w:rsid w:val="14327E28"/>
    <w:rsid w:val="1433594E"/>
    <w:rsid w:val="143A0A8B"/>
    <w:rsid w:val="143F60A1"/>
    <w:rsid w:val="14667AD2"/>
    <w:rsid w:val="149A3C1F"/>
    <w:rsid w:val="149A59CD"/>
    <w:rsid w:val="14A01236"/>
    <w:rsid w:val="14BA7E1E"/>
    <w:rsid w:val="14BB6070"/>
    <w:rsid w:val="14BE4D00"/>
    <w:rsid w:val="14C34F24"/>
    <w:rsid w:val="14DE3B0C"/>
    <w:rsid w:val="14E248D3"/>
    <w:rsid w:val="14E31122"/>
    <w:rsid w:val="14EF5D19"/>
    <w:rsid w:val="155B6F0B"/>
    <w:rsid w:val="156009C5"/>
    <w:rsid w:val="15714980"/>
    <w:rsid w:val="15A765F4"/>
    <w:rsid w:val="15BB3382"/>
    <w:rsid w:val="15C251DC"/>
    <w:rsid w:val="15E05662"/>
    <w:rsid w:val="15E2762C"/>
    <w:rsid w:val="160E0421"/>
    <w:rsid w:val="16353C00"/>
    <w:rsid w:val="16481B85"/>
    <w:rsid w:val="1695469E"/>
    <w:rsid w:val="16F5513D"/>
    <w:rsid w:val="171952CF"/>
    <w:rsid w:val="173B5246"/>
    <w:rsid w:val="175C51BC"/>
    <w:rsid w:val="177C13BA"/>
    <w:rsid w:val="177C760C"/>
    <w:rsid w:val="17836BED"/>
    <w:rsid w:val="17854713"/>
    <w:rsid w:val="178C784F"/>
    <w:rsid w:val="17BA0860"/>
    <w:rsid w:val="17F13B56"/>
    <w:rsid w:val="17FD24FB"/>
    <w:rsid w:val="18185587"/>
    <w:rsid w:val="183F48C2"/>
    <w:rsid w:val="185D76B3"/>
    <w:rsid w:val="187327BD"/>
    <w:rsid w:val="187C3D68"/>
    <w:rsid w:val="187D363C"/>
    <w:rsid w:val="18CD6371"/>
    <w:rsid w:val="18CE20EA"/>
    <w:rsid w:val="194B7296"/>
    <w:rsid w:val="1953010A"/>
    <w:rsid w:val="19837207"/>
    <w:rsid w:val="19A75624"/>
    <w:rsid w:val="19AC5F87"/>
    <w:rsid w:val="19B525C4"/>
    <w:rsid w:val="19E03E83"/>
    <w:rsid w:val="19EE47F1"/>
    <w:rsid w:val="1A2A3350"/>
    <w:rsid w:val="1A417809"/>
    <w:rsid w:val="1A501008"/>
    <w:rsid w:val="1A5328A6"/>
    <w:rsid w:val="1A646862"/>
    <w:rsid w:val="1A987408"/>
    <w:rsid w:val="1AA44EB0"/>
    <w:rsid w:val="1AB570BD"/>
    <w:rsid w:val="1ABC044C"/>
    <w:rsid w:val="1ADA571C"/>
    <w:rsid w:val="1AEE0821"/>
    <w:rsid w:val="1AFA66D4"/>
    <w:rsid w:val="1B1A7868"/>
    <w:rsid w:val="1B55264E"/>
    <w:rsid w:val="1B6D7998"/>
    <w:rsid w:val="1B7B0307"/>
    <w:rsid w:val="1B851185"/>
    <w:rsid w:val="1BC81072"/>
    <w:rsid w:val="1C112A19"/>
    <w:rsid w:val="1C145AD5"/>
    <w:rsid w:val="1C2F10F1"/>
    <w:rsid w:val="1C8633A9"/>
    <w:rsid w:val="1C9121E5"/>
    <w:rsid w:val="1CAB5AF6"/>
    <w:rsid w:val="1CB87339"/>
    <w:rsid w:val="1CC96E50"/>
    <w:rsid w:val="1CCE699E"/>
    <w:rsid w:val="1CD86382"/>
    <w:rsid w:val="1D0936F0"/>
    <w:rsid w:val="1D1E53EE"/>
    <w:rsid w:val="1D3A1AFC"/>
    <w:rsid w:val="1D3E15EC"/>
    <w:rsid w:val="1D7C2114"/>
    <w:rsid w:val="1D7E40DE"/>
    <w:rsid w:val="1D884F5D"/>
    <w:rsid w:val="1D9531D6"/>
    <w:rsid w:val="1D9C27B6"/>
    <w:rsid w:val="1DA17DCD"/>
    <w:rsid w:val="1DAF6046"/>
    <w:rsid w:val="1DC835AB"/>
    <w:rsid w:val="1E0B5246"/>
    <w:rsid w:val="1E2527AC"/>
    <w:rsid w:val="1E3649B9"/>
    <w:rsid w:val="1E9021D3"/>
    <w:rsid w:val="1EAC6A29"/>
    <w:rsid w:val="1EB15DEE"/>
    <w:rsid w:val="1EB92499"/>
    <w:rsid w:val="1EC27FFB"/>
    <w:rsid w:val="1EE95587"/>
    <w:rsid w:val="1EFD2558"/>
    <w:rsid w:val="1EFD7285"/>
    <w:rsid w:val="1F122D30"/>
    <w:rsid w:val="1F242A63"/>
    <w:rsid w:val="1F4860F9"/>
    <w:rsid w:val="1F49071C"/>
    <w:rsid w:val="1F5275D0"/>
    <w:rsid w:val="1F6C45AE"/>
    <w:rsid w:val="1F707A57"/>
    <w:rsid w:val="1F75506D"/>
    <w:rsid w:val="1F953961"/>
    <w:rsid w:val="1FA140B4"/>
    <w:rsid w:val="1FA3607E"/>
    <w:rsid w:val="1FB21E1D"/>
    <w:rsid w:val="1FBE07C2"/>
    <w:rsid w:val="1FC64343"/>
    <w:rsid w:val="1FDF698A"/>
    <w:rsid w:val="1FE91D68"/>
    <w:rsid w:val="1FF468DA"/>
    <w:rsid w:val="201A4426"/>
    <w:rsid w:val="20256A93"/>
    <w:rsid w:val="20410142"/>
    <w:rsid w:val="20765541"/>
    <w:rsid w:val="20790B8D"/>
    <w:rsid w:val="207C420E"/>
    <w:rsid w:val="208D63E6"/>
    <w:rsid w:val="2099122F"/>
    <w:rsid w:val="2110329F"/>
    <w:rsid w:val="212D20A3"/>
    <w:rsid w:val="21674E89"/>
    <w:rsid w:val="218E2416"/>
    <w:rsid w:val="219739C1"/>
    <w:rsid w:val="21C46106"/>
    <w:rsid w:val="21D06ED2"/>
    <w:rsid w:val="21E435AA"/>
    <w:rsid w:val="21E87D78"/>
    <w:rsid w:val="21F7445F"/>
    <w:rsid w:val="21FE759C"/>
    <w:rsid w:val="22192627"/>
    <w:rsid w:val="22561186"/>
    <w:rsid w:val="22590C76"/>
    <w:rsid w:val="227C5782"/>
    <w:rsid w:val="22877591"/>
    <w:rsid w:val="228C104B"/>
    <w:rsid w:val="22A068A5"/>
    <w:rsid w:val="22B45EAC"/>
    <w:rsid w:val="22B61C24"/>
    <w:rsid w:val="22B91715"/>
    <w:rsid w:val="22BA5BB9"/>
    <w:rsid w:val="22C32593"/>
    <w:rsid w:val="22E70030"/>
    <w:rsid w:val="22EF5136"/>
    <w:rsid w:val="23270D74"/>
    <w:rsid w:val="233F6CE3"/>
    <w:rsid w:val="23607DE2"/>
    <w:rsid w:val="237D0994"/>
    <w:rsid w:val="238166D6"/>
    <w:rsid w:val="2392443F"/>
    <w:rsid w:val="23A105E9"/>
    <w:rsid w:val="23AE6D9F"/>
    <w:rsid w:val="23B5012E"/>
    <w:rsid w:val="23C36519"/>
    <w:rsid w:val="23CE1817"/>
    <w:rsid w:val="23D3133D"/>
    <w:rsid w:val="23D700A4"/>
    <w:rsid w:val="23F70746"/>
    <w:rsid w:val="23F724F4"/>
    <w:rsid w:val="240D3AC6"/>
    <w:rsid w:val="242F3648"/>
    <w:rsid w:val="24516CBE"/>
    <w:rsid w:val="248E2D16"/>
    <w:rsid w:val="24BD4B8E"/>
    <w:rsid w:val="24D9609E"/>
    <w:rsid w:val="24EF7670"/>
    <w:rsid w:val="24F353B2"/>
    <w:rsid w:val="25126CA9"/>
    <w:rsid w:val="25496D80"/>
    <w:rsid w:val="254C4AC2"/>
    <w:rsid w:val="25981AB5"/>
    <w:rsid w:val="259F4BF2"/>
    <w:rsid w:val="25BA7C7E"/>
    <w:rsid w:val="25BE7507"/>
    <w:rsid w:val="25CE197B"/>
    <w:rsid w:val="25E60A73"/>
    <w:rsid w:val="25F018F1"/>
    <w:rsid w:val="25F74A2E"/>
    <w:rsid w:val="260F621B"/>
    <w:rsid w:val="2610789E"/>
    <w:rsid w:val="261C4494"/>
    <w:rsid w:val="2623001B"/>
    <w:rsid w:val="26612D6B"/>
    <w:rsid w:val="26834513"/>
    <w:rsid w:val="26AA1AA0"/>
    <w:rsid w:val="26AC3A6A"/>
    <w:rsid w:val="26B97F35"/>
    <w:rsid w:val="27082C6B"/>
    <w:rsid w:val="27337CE7"/>
    <w:rsid w:val="27767BD4"/>
    <w:rsid w:val="27A940A4"/>
    <w:rsid w:val="27B150B0"/>
    <w:rsid w:val="27B5694E"/>
    <w:rsid w:val="27D03788"/>
    <w:rsid w:val="27DF39CB"/>
    <w:rsid w:val="27F427FC"/>
    <w:rsid w:val="281D44F4"/>
    <w:rsid w:val="282B3F32"/>
    <w:rsid w:val="28302479"/>
    <w:rsid w:val="284A74CB"/>
    <w:rsid w:val="285C501C"/>
    <w:rsid w:val="287F0D0A"/>
    <w:rsid w:val="28852C5D"/>
    <w:rsid w:val="288602EB"/>
    <w:rsid w:val="288D7C6A"/>
    <w:rsid w:val="28A864EB"/>
    <w:rsid w:val="28A95D87"/>
    <w:rsid w:val="28AF339E"/>
    <w:rsid w:val="28D41056"/>
    <w:rsid w:val="28ED2118"/>
    <w:rsid w:val="290556B4"/>
    <w:rsid w:val="29064F88"/>
    <w:rsid w:val="29121B7F"/>
    <w:rsid w:val="291476A5"/>
    <w:rsid w:val="292A6EC8"/>
    <w:rsid w:val="293E0BC6"/>
    <w:rsid w:val="2940049A"/>
    <w:rsid w:val="296E1BB1"/>
    <w:rsid w:val="29F15C38"/>
    <w:rsid w:val="2A077209"/>
    <w:rsid w:val="2A081A28"/>
    <w:rsid w:val="2A12304A"/>
    <w:rsid w:val="2A1262DA"/>
    <w:rsid w:val="2A2B2EF8"/>
    <w:rsid w:val="2A3D0E7D"/>
    <w:rsid w:val="2A704DAF"/>
    <w:rsid w:val="2A7A3E7F"/>
    <w:rsid w:val="2A7D0899"/>
    <w:rsid w:val="2A95743B"/>
    <w:rsid w:val="2A9C2048"/>
    <w:rsid w:val="2AAA4765"/>
    <w:rsid w:val="2ACF5F79"/>
    <w:rsid w:val="2B1716CE"/>
    <w:rsid w:val="2B255DA9"/>
    <w:rsid w:val="2B2D4A4E"/>
    <w:rsid w:val="2B485D2C"/>
    <w:rsid w:val="2B7B1C5D"/>
    <w:rsid w:val="2BB138D1"/>
    <w:rsid w:val="2BF51A0F"/>
    <w:rsid w:val="2BFC5462"/>
    <w:rsid w:val="2C1B33C6"/>
    <w:rsid w:val="2C5D75B5"/>
    <w:rsid w:val="2C646D6B"/>
    <w:rsid w:val="2C7C5C8D"/>
    <w:rsid w:val="2CD72C54"/>
    <w:rsid w:val="2CE657FC"/>
    <w:rsid w:val="2CFD0E66"/>
    <w:rsid w:val="2D0143E4"/>
    <w:rsid w:val="2D087520"/>
    <w:rsid w:val="2D173C07"/>
    <w:rsid w:val="2D287BC3"/>
    <w:rsid w:val="2D2A0EC9"/>
    <w:rsid w:val="2D430559"/>
    <w:rsid w:val="2D4744ED"/>
    <w:rsid w:val="2D524C40"/>
    <w:rsid w:val="2D595FCE"/>
    <w:rsid w:val="2D662499"/>
    <w:rsid w:val="2D686211"/>
    <w:rsid w:val="2D6A01DB"/>
    <w:rsid w:val="2D9214E0"/>
    <w:rsid w:val="2DC84F02"/>
    <w:rsid w:val="2DEC0BF0"/>
    <w:rsid w:val="2E25003C"/>
    <w:rsid w:val="2E334E31"/>
    <w:rsid w:val="2E3877F2"/>
    <w:rsid w:val="2E61338C"/>
    <w:rsid w:val="2E756E38"/>
    <w:rsid w:val="2E7806D6"/>
    <w:rsid w:val="2EB84F76"/>
    <w:rsid w:val="2EC72420"/>
    <w:rsid w:val="2EE31FF3"/>
    <w:rsid w:val="2EE87609"/>
    <w:rsid w:val="2EFC1307"/>
    <w:rsid w:val="2F1C5505"/>
    <w:rsid w:val="2F212B1B"/>
    <w:rsid w:val="2F4F7689"/>
    <w:rsid w:val="2F6649D2"/>
    <w:rsid w:val="2F8A08CC"/>
    <w:rsid w:val="2FAF0127"/>
    <w:rsid w:val="2FF975F4"/>
    <w:rsid w:val="3011493E"/>
    <w:rsid w:val="30185CCC"/>
    <w:rsid w:val="30EE2ED1"/>
    <w:rsid w:val="31093867"/>
    <w:rsid w:val="3126266B"/>
    <w:rsid w:val="3139239E"/>
    <w:rsid w:val="316E7B6E"/>
    <w:rsid w:val="317433D6"/>
    <w:rsid w:val="317E6003"/>
    <w:rsid w:val="318B536B"/>
    <w:rsid w:val="31B436BD"/>
    <w:rsid w:val="31C14142"/>
    <w:rsid w:val="31DE4CF4"/>
    <w:rsid w:val="31E56082"/>
    <w:rsid w:val="31E7004C"/>
    <w:rsid w:val="32171FB4"/>
    <w:rsid w:val="32384404"/>
    <w:rsid w:val="32717916"/>
    <w:rsid w:val="32E97DF4"/>
    <w:rsid w:val="33174961"/>
    <w:rsid w:val="331A77C2"/>
    <w:rsid w:val="33560942"/>
    <w:rsid w:val="33753436"/>
    <w:rsid w:val="337C47C4"/>
    <w:rsid w:val="33865643"/>
    <w:rsid w:val="339733AC"/>
    <w:rsid w:val="339C09C3"/>
    <w:rsid w:val="33A44776"/>
    <w:rsid w:val="33A63194"/>
    <w:rsid w:val="33DC5263"/>
    <w:rsid w:val="344F3C87"/>
    <w:rsid w:val="34594B05"/>
    <w:rsid w:val="347436ED"/>
    <w:rsid w:val="34831B82"/>
    <w:rsid w:val="348E0C53"/>
    <w:rsid w:val="34983880"/>
    <w:rsid w:val="35076310"/>
    <w:rsid w:val="3557344C"/>
    <w:rsid w:val="35683252"/>
    <w:rsid w:val="357716E7"/>
    <w:rsid w:val="358B5193"/>
    <w:rsid w:val="35A149B6"/>
    <w:rsid w:val="35D102BC"/>
    <w:rsid w:val="360771BA"/>
    <w:rsid w:val="360A0F8C"/>
    <w:rsid w:val="36525CB0"/>
    <w:rsid w:val="365915D2"/>
    <w:rsid w:val="36B10C29"/>
    <w:rsid w:val="36B27B41"/>
    <w:rsid w:val="36C86902"/>
    <w:rsid w:val="36D13079"/>
    <w:rsid w:val="36E27034"/>
    <w:rsid w:val="36E96615"/>
    <w:rsid w:val="36FF1994"/>
    <w:rsid w:val="373972A7"/>
    <w:rsid w:val="374B4BD9"/>
    <w:rsid w:val="37585548"/>
    <w:rsid w:val="375C0B95"/>
    <w:rsid w:val="375D66BB"/>
    <w:rsid w:val="376A0DBC"/>
    <w:rsid w:val="378B3228"/>
    <w:rsid w:val="379E11AD"/>
    <w:rsid w:val="37B207B5"/>
    <w:rsid w:val="37B81B43"/>
    <w:rsid w:val="37CA01F4"/>
    <w:rsid w:val="37E56DDC"/>
    <w:rsid w:val="37EA43F2"/>
    <w:rsid w:val="37EE2BEA"/>
    <w:rsid w:val="380134EA"/>
    <w:rsid w:val="383E473E"/>
    <w:rsid w:val="383E7EED"/>
    <w:rsid w:val="3857135C"/>
    <w:rsid w:val="38581532"/>
    <w:rsid w:val="386A108F"/>
    <w:rsid w:val="38A722E3"/>
    <w:rsid w:val="38A74091"/>
    <w:rsid w:val="38B4055C"/>
    <w:rsid w:val="39006C13"/>
    <w:rsid w:val="390B0AC4"/>
    <w:rsid w:val="392E4F96"/>
    <w:rsid w:val="39421F20"/>
    <w:rsid w:val="398C14D9"/>
    <w:rsid w:val="39A00A71"/>
    <w:rsid w:val="39A71956"/>
    <w:rsid w:val="39D011BE"/>
    <w:rsid w:val="39DE1D35"/>
    <w:rsid w:val="39E11825"/>
    <w:rsid w:val="3A173499"/>
    <w:rsid w:val="3A257964"/>
    <w:rsid w:val="3A345DF9"/>
    <w:rsid w:val="3A563FC1"/>
    <w:rsid w:val="3A72247D"/>
    <w:rsid w:val="3A946897"/>
    <w:rsid w:val="3AA765CB"/>
    <w:rsid w:val="3AAA3F1F"/>
    <w:rsid w:val="3B6C4028"/>
    <w:rsid w:val="3B974891"/>
    <w:rsid w:val="3BAB1079"/>
    <w:rsid w:val="3BD038FF"/>
    <w:rsid w:val="3BD333EF"/>
    <w:rsid w:val="3BFC46F4"/>
    <w:rsid w:val="3C2F484C"/>
    <w:rsid w:val="3C3420E0"/>
    <w:rsid w:val="3C3527D5"/>
    <w:rsid w:val="3C5207B8"/>
    <w:rsid w:val="3C8C1F1C"/>
    <w:rsid w:val="3CA60B04"/>
    <w:rsid w:val="3CAB1C76"/>
    <w:rsid w:val="3CB66F99"/>
    <w:rsid w:val="3CD15B81"/>
    <w:rsid w:val="3CD4741F"/>
    <w:rsid w:val="3CDB07AE"/>
    <w:rsid w:val="3CDB255C"/>
    <w:rsid w:val="3CEF4259"/>
    <w:rsid w:val="3D015D3A"/>
    <w:rsid w:val="3D17730C"/>
    <w:rsid w:val="3D1B6DFC"/>
    <w:rsid w:val="3D4025B1"/>
    <w:rsid w:val="3D4A5933"/>
    <w:rsid w:val="3D4F4CF8"/>
    <w:rsid w:val="3D537E59"/>
    <w:rsid w:val="3D583BAC"/>
    <w:rsid w:val="3D6D1627"/>
    <w:rsid w:val="3D6D517E"/>
    <w:rsid w:val="3DC46429"/>
    <w:rsid w:val="3DDB658B"/>
    <w:rsid w:val="3DF15DAF"/>
    <w:rsid w:val="3DF7373D"/>
    <w:rsid w:val="3E03671E"/>
    <w:rsid w:val="3E1F46CA"/>
    <w:rsid w:val="3E300685"/>
    <w:rsid w:val="3E344619"/>
    <w:rsid w:val="3E444130"/>
    <w:rsid w:val="3E5A1BA6"/>
    <w:rsid w:val="3EE55913"/>
    <w:rsid w:val="3F2200A2"/>
    <w:rsid w:val="3F275F2C"/>
    <w:rsid w:val="3F3E6DD2"/>
    <w:rsid w:val="3F8F587F"/>
    <w:rsid w:val="3F9769DD"/>
    <w:rsid w:val="3FA94B93"/>
    <w:rsid w:val="3FE61943"/>
    <w:rsid w:val="3FE91433"/>
    <w:rsid w:val="402E5098"/>
    <w:rsid w:val="403703F1"/>
    <w:rsid w:val="40A84E4B"/>
    <w:rsid w:val="40BB2DD0"/>
    <w:rsid w:val="41173D7E"/>
    <w:rsid w:val="413608FA"/>
    <w:rsid w:val="41490391"/>
    <w:rsid w:val="41831414"/>
    <w:rsid w:val="41986C6D"/>
    <w:rsid w:val="41A27AEC"/>
    <w:rsid w:val="41C2018E"/>
    <w:rsid w:val="41C850AD"/>
    <w:rsid w:val="41FF0A9A"/>
    <w:rsid w:val="42366486"/>
    <w:rsid w:val="42424E2B"/>
    <w:rsid w:val="4249440B"/>
    <w:rsid w:val="425D3A13"/>
    <w:rsid w:val="43106CD7"/>
    <w:rsid w:val="431D1023"/>
    <w:rsid w:val="43346E69"/>
    <w:rsid w:val="43476B9D"/>
    <w:rsid w:val="435C1F1C"/>
    <w:rsid w:val="43882D11"/>
    <w:rsid w:val="438C2802"/>
    <w:rsid w:val="43963680"/>
    <w:rsid w:val="43B9111D"/>
    <w:rsid w:val="43D877F5"/>
    <w:rsid w:val="442A5B77"/>
    <w:rsid w:val="446A0634"/>
    <w:rsid w:val="44A678F3"/>
    <w:rsid w:val="44AB6087"/>
    <w:rsid w:val="44B33DBE"/>
    <w:rsid w:val="44C23E37"/>
    <w:rsid w:val="44F901B8"/>
    <w:rsid w:val="44FD328B"/>
    <w:rsid w:val="45101210"/>
    <w:rsid w:val="452847AC"/>
    <w:rsid w:val="458E4869"/>
    <w:rsid w:val="459338F2"/>
    <w:rsid w:val="45B21B65"/>
    <w:rsid w:val="46144D30"/>
    <w:rsid w:val="46223888"/>
    <w:rsid w:val="462C207A"/>
    <w:rsid w:val="465670F7"/>
    <w:rsid w:val="465B64BB"/>
    <w:rsid w:val="466B2BA2"/>
    <w:rsid w:val="4674757D"/>
    <w:rsid w:val="467D0B27"/>
    <w:rsid w:val="46A012BC"/>
    <w:rsid w:val="46B53E1D"/>
    <w:rsid w:val="46B75F04"/>
    <w:rsid w:val="46C17060"/>
    <w:rsid w:val="46C67DD9"/>
    <w:rsid w:val="46CC73B9"/>
    <w:rsid w:val="46DF0E9A"/>
    <w:rsid w:val="46E110B6"/>
    <w:rsid w:val="46E12E64"/>
    <w:rsid w:val="46E42955"/>
    <w:rsid w:val="46E841F3"/>
    <w:rsid w:val="47084895"/>
    <w:rsid w:val="471A6376"/>
    <w:rsid w:val="476D64A6"/>
    <w:rsid w:val="47775577"/>
    <w:rsid w:val="47777325"/>
    <w:rsid w:val="47F941DE"/>
    <w:rsid w:val="483B65A4"/>
    <w:rsid w:val="48515DC8"/>
    <w:rsid w:val="48535EE5"/>
    <w:rsid w:val="486024AF"/>
    <w:rsid w:val="489108BA"/>
    <w:rsid w:val="48BF0F83"/>
    <w:rsid w:val="48C55FA1"/>
    <w:rsid w:val="49025314"/>
    <w:rsid w:val="49117305"/>
    <w:rsid w:val="49284D7B"/>
    <w:rsid w:val="492C1D2E"/>
    <w:rsid w:val="49374FBE"/>
    <w:rsid w:val="494551C9"/>
    <w:rsid w:val="49AD0F5D"/>
    <w:rsid w:val="49CB3958"/>
    <w:rsid w:val="4A04505A"/>
    <w:rsid w:val="4A154318"/>
    <w:rsid w:val="4A4A0D21"/>
    <w:rsid w:val="4A6C513B"/>
    <w:rsid w:val="4A7E09CA"/>
    <w:rsid w:val="4A7F4E6E"/>
    <w:rsid w:val="4A963F66"/>
    <w:rsid w:val="4AAC19DB"/>
    <w:rsid w:val="4AB4263E"/>
    <w:rsid w:val="4B005883"/>
    <w:rsid w:val="4B3F0159"/>
    <w:rsid w:val="4B524331"/>
    <w:rsid w:val="4B62342E"/>
    <w:rsid w:val="4BA44460"/>
    <w:rsid w:val="4BB548C0"/>
    <w:rsid w:val="4BCD7E5B"/>
    <w:rsid w:val="4C2F6420"/>
    <w:rsid w:val="4C3025F1"/>
    <w:rsid w:val="4C3E48B5"/>
    <w:rsid w:val="4C4A14AC"/>
    <w:rsid w:val="4C4D4AF8"/>
    <w:rsid w:val="4C516396"/>
    <w:rsid w:val="4C602A7D"/>
    <w:rsid w:val="4C806C7C"/>
    <w:rsid w:val="4C9D5A7F"/>
    <w:rsid w:val="4C9E5354"/>
    <w:rsid w:val="4CF520D9"/>
    <w:rsid w:val="4D0F7FFF"/>
    <w:rsid w:val="4D16138E"/>
    <w:rsid w:val="4D245859"/>
    <w:rsid w:val="4D3857A8"/>
    <w:rsid w:val="4D8E361A"/>
    <w:rsid w:val="4D8E53C8"/>
    <w:rsid w:val="4DA1334D"/>
    <w:rsid w:val="4DA478AD"/>
    <w:rsid w:val="4DBC1F35"/>
    <w:rsid w:val="4DBF37D4"/>
    <w:rsid w:val="4DC1579E"/>
    <w:rsid w:val="4DCE3A17"/>
    <w:rsid w:val="4E516B22"/>
    <w:rsid w:val="4E54216E"/>
    <w:rsid w:val="4E594FF4"/>
    <w:rsid w:val="4E8A3DE2"/>
    <w:rsid w:val="4E9C3BCC"/>
    <w:rsid w:val="4EE771E2"/>
    <w:rsid w:val="4EEA2AD2"/>
    <w:rsid w:val="4EF9194B"/>
    <w:rsid w:val="4F2A1121"/>
    <w:rsid w:val="4F3F510F"/>
    <w:rsid w:val="4F42646A"/>
    <w:rsid w:val="4F5A37B4"/>
    <w:rsid w:val="4F7B6DCD"/>
    <w:rsid w:val="4F8151E4"/>
    <w:rsid w:val="4FAD6032"/>
    <w:rsid w:val="4FB947AA"/>
    <w:rsid w:val="4FBF5D0D"/>
    <w:rsid w:val="4FCE41A2"/>
    <w:rsid w:val="4FF359B6"/>
    <w:rsid w:val="4FFD0EF1"/>
    <w:rsid w:val="500D6A78"/>
    <w:rsid w:val="50146D57"/>
    <w:rsid w:val="50250266"/>
    <w:rsid w:val="50281B04"/>
    <w:rsid w:val="504F0E3F"/>
    <w:rsid w:val="50650662"/>
    <w:rsid w:val="5075461D"/>
    <w:rsid w:val="50B74C36"/>
    <w:rsid w:val="50BB2978"/>
    <w:rsid w:val="50C57353"/>
    <w:rsid w:val="50C7131D"/>
    <w:rsid w:val="51071719"/>
    <w:rsid w:val="510936E3"/>
    <w:rsid w:val="510E0CFA"/>
    <w:rsid w:val="51172F9F"/>
    <w:rsid w:val="511A41BF"/>
    <w:rsid w:val="51271DBC"/>
    <w:rsid w:val="51532795"/>
    <w:rsid w:val="51695F30"/>
    <w:rsid w:val="51B82A14"/>
    <w:rsid w:val="51B86EB8"/>
    <w:rsid w:val="51BC5C5D"/>
    <w:rsid w:val="51E1640E"/>
    <w:rsid w:val="51F55A16"/>
    <w:rsid w:val="51FF6894"/>
    <w:rsid w:val="5201257C"/>
    <w:rsid w:val="52311B45"/>
    <w:rsid w:val="52691F60"/>
    <w:rsid w:val="52A336C4"/>
    <w:rsid w:val="52A66D10"/>
    <w:rsid w:val="52BD6456"/>
    <w:rsid w:val="52D95337"/>
    <w:rsid w:val="532760A3"/>
    <w:rsid w:val="533B1B4E"/>
    <w:rsid w:val="53486019"/>
    <w:rsid w:val="534A3B3F"/>
    <w:rsid w:val="53591FD4"/>
    <w:rsid w:val="53683F40"/>
    <w:rsid w:val="536A2750"/>
    <w:rsid w:val="536C0A8D"/>
    <w:rsid w:val="536C61AC"/>
    <w:rsid w:val="53894668"/>
    <w:rsid w:val="538A5F1E"/>
    <w:rsid w:val="539D601D"/>
    <w:rsid w:val="53DD49B3"/>
    <w:rsid w:val="53E43F94"/>
    <w:rsid w:val="53E915AA"/>
    <w:rsid w:val="53F00B8B"/>
    <w:rsid w:val="53F32429"/>
    <w:rsid w:val="54077C82"/>
    <w:rsid w:val="54751090"/>
    <w:rsid w:val="547F3CBD"/>
    <w:rsid w:val="54837309"/>
    <w:rsid w:val="54890697"/>
    <w:rsid w:val="54996B2C"/>
    <w:rsid w:val="549A28A4"/>
    <w:rsid w:val="54A75C14"/>
    <w:rsid w:val="54C05F9B"/>
    <w:rsid w:val="54C55B73"/>
    <w:rsid w:val="54D45DB6"/>
    <w:rsid w:val="54D71BBA"/>
    <w:rsid w:val="54F975CB"/>
    <w:rsid w:val="54FC530D"/>
    <w:rsid w:val="5539030F"/>
    <w:rsid w:val="55A25EB5"/>
    <w:rsid w:val="55C71477"/>
    <w:rsid w:val="55C951EF"/>
    <w:rsid w:val="55E0078B"/>
    <w:rsid w:val="56024BA5"/>
    <w:rsid w:val="56026953"/>
    <w:rsid w:val="560C1580"/>
    <w:rsid w:val="56292132"/>
    <w:rsid w:val="56350AD7"/>
    <w:rsid w:val="564E1B99"/>
    <w:rsid w:val="569A4DDE"/>
    <w:rsid w:val="56AC3D25"/>
    <w:rsid w:val="56B0015D"/>
    <w:rsid w:val="56B7773E"/>
    <w:rsid w:val="56CF2CD9"/>
    <w:rsid w:val="56FE0B98"/>
    <w:rsid w:val="571132F2"/>
    <w:rsid w:val="5726041F"/>
    <w:rsid w:val="572B1EDA"/>
    <w:rsid w:val="57413F34"/>
    <w:rsid w:val="57445BAF"/>
    <w:rsid w:val="57527466"/>
    <w:rsid w:val="577675F9"/>
    <w:rsid w:val="57821FCB"/>
    <w:rsid w:val="579B2BBB"/>
    <w:rsid w:val="57A06D7A"/>
    <w:rsid w:val="57BB14B0"/>
    <w:rsid w:val="57D16F79"/>
    <w:rsid w:val="57DD31D4"/>
    <w:rsid w:val="57F81DBC"/>
    <w:rsid w:val="57F95B34"/>
    <w:rsid w:val="580C3AB9"/>
    <w:rsid w:val="5834469F"/>
    <w:rsid w:val="5838665C"/>
    <w:rsid w:val="583E407C"/>
    <w:rsid w:val="58676F42"/>
    <w:rsid w:val="587527B8"/>
    <w:rsid w:val="58767185"/>
    <w:rsid w:val="588D5626"/>
    <w:rsid w:val="58BA3515"/>
    <w:rsid w:val="58D8399B"/>
    <w:rsid w:val="58E42340"/>
    <w:rsid w:val="596C4444"/>
    <w:rsid w:val="59736FAA"/>
    <w:rsid w:val="598D4786"/>
    <w:rsid w:val="59A87812"/>
    <w:rsid w:val="59FC376B"/>
    <w:rsid w:val="5A2040C5"/>
    <w:rsid w:val="5A311DCE"/>
    <w:rsid w:val="5A5A7FB5"/>
    <w:rsid w:val="5A932270"/>
    <w:rsid w:val="5AE42ACB"/>
    <w:rsid w:val="5AFA22EF"/>
    <w:rsid w:val="5B0942E0"/>
    <w:rsid w:val="5B215ACE"/>
    <w:rsid w:val="5B4B2A39"/>
    <w:rsid w:val="5B6B6D49"/>
    <w:rsid w:val="5B70435F"/>
    <w:rsid w:val="5B762D1A"/>
    <w:rsid w:val="5B7F6563"/>
    <w:rsid w:val="5BA74C10"/>
    <w:rsid w:val="5BAA7871"/>
    <w:rsid w:val="5BC326E1"/>
    <w:rsid w:val="5BCF63A9"/>
    <w:rsid w:val="5BE865EB"/>
    <w:rsid w:val="5C2A09B2"/>
    <w:rsid w:val="5C5B0B6B"/>
    <w:rsid w:val="5C5D2B35"/>
    <w:rsid w:val="5C5F065B"/>
    <w:rsid w:val="5C6739B4"/>
    <w:rsid w:val="5C983B6D"/>
    <w:rsid w:val="5CD252D1"/>
    <w:rsid w:val="5D2C0F26"/>
    <w:rsid w:val="5D323FC2"/>
    <w:rsid w:val="5D3C6BEF"/>
    <w:rsid w:val="5D494E68"/>
    <w:rsid w:val="5D5C2DED"/>
    <w:rsid w:val="5D861C18"/>
    <w:rsid w:val="5D9C58DF"/>
    <w:rsid w:val="5DAB167E"/>
    <w:rsid w:val="5DB04EE7"/>
    <w:rsid w:val="5DB22A0D"/>
    <w:rsid w:val="5DBE13B2"/>
    <w:rsid w:val="5DEA21A7"/>
    <w:rsid w:val="5DF43025"/>
    <w:rsid w:val="5E0314BA"/>
    <w:rsid w:val="5E0771FD"/>
    <w:rsid w:val="5E272D49"/>
    <w:rsid w:val="5E3616AF"/>
    <w:rsid w:val="5E5F0DE7"/>
    <w:rsid w:val="5E6463FD"/>
    <w:rsid w:val="5EAE1426"/>
    <w:rsid w:val="5EBA41F7"/>
    <w:rsid w:val="5ECE3876"/>
    <w:rsid w:val="5ED66BCF"/>
    <w:rsid w:val="5EDB19DD"/>
    <w:rsid w:val="5F225970"/>
    <w:rsid w:val="5F70492E"/>
    <w:rsid w:val="5F7D15E1"/>
    <w:rsid w:val="5F9A19AB"/>
    <w:rsid w:val="5FB921BD"/>
    <w:rsid w:val="5FBF3369"/>
    <w:rsid w:val="5FE315A4"/>
    <w:rsid w:val="5FEB7114"/>
    <w:rsid w:val="5FF84015"/>
    <w:rsid w:val="60145C01"/>
    <w:rsid w:val="60196D73"/>
    <w:rsid w:val="60396BAB"/>
    <w:rsid w:val="6088744F"/>
    <w:rsid w:val="608E7761"/>
    <w:rsid w:val="60A800F7"/>
    <w:rsid w:val="60BB607C"/>
    <w:rsid w:val="60C413D5"/>
    <w:rsid w:val="60E05AE3"/>
    <w:rsid w:val="60F878A0"/>
    <w:rsid w:val="610D086E"/>
    <w:rsid w:val="61532759"/>
    <w:rsid w:val="616404C2"/>
    <w:rsid w:val="61693D2A"/>
    <w:rsid w:val="618D5C6B"/>
    <w:rsid w:val="618F5C7A"/>
    <w:rsid w:val="619D39D4"/>
    <w:rsid w:val="61A46B11"/>
    <w:rsid w:val="61E11B13"/>
    <w:rsid w:val="61EB2991"/>
    <w:rsid w:val="61FC06FB"/>
    <w:rsid w:val="620F6680"/>
    <w:rsid w:val="6256605D"/>
    <w:rsid w:val="62606EDB"/>
    <w:rsid w:val="62A0377C"/>
    <w:rsid w:val="62A96AD4"/>
    <w:rsid w:val="632105B4"/>
    <w:rsid w:val="633B34A5"/>
    <w:rsid w:val="634C3904"/>
    <w:rsid w:val="635822A8"/>
    <w:rsid w:val="6370314E"/>
    <w:rsid w:val="63780255"/>
    <w:rsid w:val="638C3D00"/>
    <w:rsid w:val="638D1F52"/>
    <w:rsid w:val="63AE011A"/>
    <w:rsid w:val="63B270A2"/>
    <w:rsid w:val="63B53257"/>
    <w:rsid w:val="63CE60C7"/>
    <w:rsid w:val="63D25BB7"/>
    <w:rsid w:val="641461CF"/>
    <w:rsid w:val="64153CF6"/>
    <w:rsid w:val="6449399F"/>
    <w:rsid w:val="645C7B76"/>
    <w:rsid w:val="64630F05"/>
    <w:rsid w:val="64BE25DF"/>
    <w:rsid w:val="64F23B79"/>
    <w:rsid w:val="650A1380"/>
    <w:rsid w:val="65420B1A"/>
    <w:rsid w:val="65654809"/>
    <w:rsid w:val="659B022A"/>
    <w:rsid w:val="659F5F6D"/>
    <w:rsid w:val="65B57F02"/>
    <w:rsid w:val="65B65064"/>
    <w:rsid w:val="65E9543A"/>
    <w:rsid w:val="65ED1C09"/>
    <w:rsid w:val="65F63CF3"/>
    <w:rsid w:val="65FE0EE5"/>
    <w:rsid w:val="66061B48"/>
    <w:rsid w:val="66087601"/>
    <w:rsid w:val="660E6C4E"/>
    <w:rsid w:val="661A55F3"/>
    <w:rsid w:val="66214BD4"/>
    <w:rsid w:val="6646288C"/>
    <w:rsid w:val="66703465"/>
    <w:rsid w:val="668B64F1"/>
    <w:rsid w:val="66A7157D"/>
    <w:rsid w:val="66B9305E"/>
    <w:rsid w:val="66D24120"/>
    <w:rsid w:val="66F422E8"/>
    <w:rsid w:val="671D04B7"/>
    <w:rsid w:val="67B57CC9"/>
    <w:rsid w:val="682409AB"/>
    <w:rsid w:val="68460921"/>
    <w:rsid w:val="686E1C26"/>
    <w:rsid w:val="687F5BE1"/>
    <w:rsid w:val="689E69AF"/>
    <w:rsid w:val="68C44E48"/>
    <w:rsid w:val="68E44A7D"/>
    <w:rsid w:val="68F4037D"/>
    <w:rsid w:val="68F465CF"/>
    <w:rsid w:val="69272501"/>
    <w:rsid w:val="69513A22"/>
    <w:rsid w:val="69586B5E"/>
    <w:rsid w:val="6965127B"/>
    <w:rsid w:val="69714AFC"/>
    <w:rsid w:val="69823BDB"/>
    <w:rsid w:val="6985191D"/>
    <w:rsid w:val="69877444"/>
    <w:rsid w:val="698931BC"/>
    <w:rsid w:val="69A41DA4"/>
    <w:rsid w:val="69AB1384"/>
    <w:rsid w:val="69CE4E6D"/>
    <w:rsid w:val="69CE6E20"/>
    <w:rsid w:val="6A6432E1"/>
    <w:rsid w:val="6A723C50"/>
    <w:rsid w:val="6A845731"/>
    <w:rsid w:val="6AA302AD"/>
    <w:rsid w:val="6AC02C0D"/>
    <w:rsid w:val="6AD40467"/>
    <w:rsid w:val="6AE54422"/>
    <w:rsid w:val="6AF503DD"/>
    <w:rsid w:val="6AF6662F"/>
    <w:rsid w:val="6B293C1E"/>
    <w:rsid w:val="6B6537B4"/>
    <w:rsid w:val="6B92605F"/>
    <w:rsid w:val="6B9F03FA"/>
    <w:rsid w:val="6BA3608B"/>
    <w:rsid w:val="6BB12556"/>
    <w:rsid w:val="6BB34520"/>
    <w:rsid w:val="6BD864AF"/>
    <w:rsid w:val="6BEC7A20"/>
    <w:rsid w:val="6C0E1756"/>
    <w:rsid w:val="6C4D6722"/>
    <w:rsid w:val="6C523D39"/>
    <w:rsid w:val="6C891725"/>
    <w:rsid w:val="6CA732C1"/>
    <w:rsid w:val="6CAE4CE7"/>
    <w:rsid w:val="6CC4275D"/>
    <w:rsid w:val="6CD26C28"/>
    <w:rsid w:val="6CD56A99"/>
    <w:rsid w:val="6D082649"/>
    <w:rsid w:val="6D0A2431"/>
    <w:rsid w:val="6D2F5E28"/>
    <w:rsid w:val="6D3451EC"/>
    <w:rsid w:val="6D350F65"/>
    <w:rsid w:val="6D4A0EB4"/>
    <w:rsid w:val="6D5B4E6F"/>
    <w:rsid w:val="6D5C4743"/>
    <w:rsid w:val="6D6331C4"/>
    <w:rsid w:val="6D6655C2"/>
    <w:rsid w:val="6D806684"/>
    <w:rsid w:val="6D9126D1"/>
    <w:rsid w:val="6D9E4D5C"/>
    <w:rsid w:val="6DC72505"/>
    <w:rsid w:val="6E0A23F1"/>
    <w:rsid w:val="6E0E7C22"/>
    <w:rsid w:val="6E250FD9"/>
    <w:rsid w:val="6E9248C1"/>
    <w:rsid w:val="6EB81E4D"/>
    <w:rsid w:val="6EC410EA"/>
    <w:rsid w:val="6ECB1B80"/>
    <w:rsid w:val="6ED22F0F"/>
    <w:rsid w:val="6EED1AF7"/>
    <w:rsid w:val="6EFF5CCE"/>
    <w:rsid w:val="6F07576D"/>
    <w:rsid w:val="6F2F210F"/>
    <w:rsid w:val="6F8256B0"/>
    <w:rsid w:val="6F8561D3"/>
    <w:rsid w:val="6FA04DBB"/>
    <w:rsid w:val="6FAA487E"/>
    <w:rsid w:val="6FBB39A3"/>
    <w:rsid w:val="6FDF7997"/>
    <w:rsid w:val="70052E70"/>
    <w:rsid w:val="702A0B29"/>
    <w:rsid w:val="702A28D7"/>
    <w:rsid w:val="70643DB9"/>
    <w:rsid w:val="70757FF6"/>
    <w:rsid w:val="707B1384"/>
    <w:rsid w:val="70822713"/>
    <w:rsid w:val="70A94143"/>
    <w:rsid w:val="70C96594"/>
    <w:rsid w:val="70D016D0"/>
    <w:rsid w:val="70F42B31"/>
    <w:rsid w:val="71123A97"/>
    <w:rsid w:val="711F4406"/>
    <w:rsid w:val="713779A1"/>
    <w:rsid w:val="71687B5B"/>
    <w:rsid w:val="716F2C97"/>
    <w:rsid w:val="71A46EE4"/>
    <w:rsid w:val="71A60683"/>
    <w:rsid w:val="71A617A0"/>
    <w:rsid w:val="720B16BC"/>
    <w:rsid w:val="720D24B0"/>
    <w:rsid w:val="723920F5"/>
    <w:rsid w:val="72444124"/>
    <w:rsid w:val="727A5D97"/>
    <w:rsid w:val="727E6F0A"/>
    <w:rsid w:val="72866D81"/>
    <w:rsid w:val="72AB765B"/>
    <w:rsid w:val="72AF5315"/>
    <w:rsid w:val="72DD6326"/>
    <w:rsid w:val="72F35429"/>
    <w:rsid w:val="732D2E0A"/>
    <w:rsid w:val="733D0EC9"/>
    <w:rsid w:val="734576C0"/>
    <w:rsid w:val="735A7977"/>
    <w:rsid w:val="73CD1EF7"/>
    <w:rsid w:val="73D2750D"/>
    <w:rsid w:val="74016CFC"/>
    <w:rsid w:val="74273CFD"/>
    <w:rsid w:val="743261FE"/>
    <w:rsid w:val="743D1AC6"/>
    <w:rsid w:val="7443040B"/>
    <w:rsid w:val="74674908"/>
    <w:rsid w:val="749F1AE5"/>
    <w:rsid w:val="74C27582"/>
    <w:rsid w:val="74EE0377"/>
    <w:rsid w:val="752C1A9F"/>
    <w:rsid w:val="753F5076"/>
    <w:rsid w:val="755C1784"/>
    <w:rsid w:val="756248C1"/>
    <w:rsid w:val="7596337E"/>
    <w:rsid w:val="75B3511C"/>
    <w:rsid w:val="75BF3AC1"/>
    <w:rsid w:val="75C630A2"/>
    <w:rsid w:val="75D532E5"/>
    <w:rsid w:val="75DF462B"/>
    <w:rsid w:val="75E43528"/>
    <w:rsid w:val="75FC2F67"/>
    <w:rsid w:val="760E0CF3"/>
    <w:rsid w:val="76107B3E"/>
    <w:rsid w:val="76206C56"/>
    <w:rsid w:val="76366479"/>
    <w:rsid w:val="763F1B26"/>
    <w:rsid w:val="768C6099"/>
    <w:rsid w:val="76912177"/>
    <w:rsid w:val="76A71125"/>
    <w:rsid w:val="76FB6D7B"/>
    <w:rsid w:val="770E2F52"/>
    <w:rsid w:val="77185B7F"/>
    <w:rsid w:val="77286F9E"/>
    <w:rsid w:val="7733135F"/>
    <w:rsid w:val="77471FC0"/>
    <w:rsid w:val="77514BED"/>
    <w:rsid w:val="775C1F10"/>
    <w:rsid w:val="775D7A36"/>
    <w:rsid w:val="77884AB3"/>
    <w:rsid w:val="779F0687"/>
    <w:rsid w:val="77A1631C"/>
    <w:rsid w:val="77A318EC"/>
    <w:rsid w:val="77C81353"/>
    <w:rsid w:val="77C90C27"/>
    <w:rsid w:val="77DC095A"/>
    <w:rsid w:val="77DF669D"/>
    <w:rsid w:val="77EC7614"/>
    <w:rsid w:val="77F02658"/>
    <w:rsid w:val="77F11957"/>
    <w:rsid w:val="782B3690"/>
    <w:rsid w:val="78370287"/>
    <w:rsid w:val="78436C2C"/>
    <w:rsid w:val="784C1F84"/>
    <w:rsid w:val="785C7CED"/>
    <w:rsid w:val="78727511"/>
    <w:rsid w:val="78852DA0"/>
    <w:rsid w:val="788F00C3"/>
    <w:rsid w:val="78CC6C21"/>
    <w:rsid w:val="78D43D28"/>
    <w:rsid w:val="78D67AA0"/>
    <w:rsid w:val="78D855C6"/>
    <w:rsid w:val="78DD5F7E"/>
    <w:rsid w:val="78EA52F9"/>
    <w:rsid w:val="792A3948"/>
    <w:rsid w:val="7962698E"/>
    <w:rsid w:val="797F1EE5"/>
    <w:rsid w:val="799A18E4"/>
    <w:rsid w:val="79BC4EE7"/>
    <w:rsid w:val="79E93C90"/>
    <w:rsid w:val="7A1C5986"/>
    <w:rsid w:val="7A4B0019"/>
    <w:rsid w:val="7A4C15A9"/>
    <w:rsid w:val="7A5A025C"/>
    <w:rsid w:val="7A5B64AE"/>
    <w:rsid w:val="7A7B26AD"/>
    <w:rsid w:val="7A8E43D0"/>
    <w:rsid w:val="7AA91FC1"/>
    <w:rsid w:val="7AB43E11"/>
    <w:rsid w:val="7AB95650"/>
    <w:rsid w:val="7AC83418"/>
    <w:rsid w:val="7ADB139D"/>
    <w:rsid w:val="7B0F21BC"/>
    <w:rsid w:val="7B241751"/>
    <w:rsid w:val="7B590514"/>
    <w:rsid w:val="7B5E3C11"/>
    <w:rsid w:val="7B640A94"/>
    <w:rsid w:val="7B737828"/>
    <w:rsid w:val="7B7F7F7B"/>
    <w:rsid w:val="7BA9149B"/>
    <w:rsid w:val="7BE6624C"/>
    <w:rsid w:val="7C06244A"/>
    <w:rsid w:val="7C1F52BA"/>
    <w:rsid w:val="7C350F81"/>
    <w:rsid w:val="7C3C7C24"/>
    <w:rsid w:val="7C4B60AF"/>
    <w:rsid w:val="7C594C70"/>
    <w:rsid w:val="7C943EFA"/>
    <w:rsid w:val="7CAD6D69"/>
    <w:rsid w:val="7CCA70B9"/>
    <w:rsid w:val="7D0A7D18"/>
    <w:rsid w:val="7D3B4375"/>
    <w:rsid w:val="7D420DC8"/>
    <w:rsid w:val="7D792545"/>
    <w:rsid w:val="7D7B29C4"/>
    <w:rsid w:val="7D827C5E"/>
    <w:rsid w:val="7D944A96"/>
    <w:rsid w:val="7DAB199B"/>
    <w:rsid w:val="7DEE13E8"/>
    <w:rsid w:val="7DF12C86"/>
    <w:rsid w:val="7DF14474"/>
    <w:rsid w:val="7E6E2528"/>
    <w:rsid w:val="7E8A59B9"/>
    <w:rsid w:val="7EC65EC0"/>
    <w:rsid w:val="7ED4682F"/>
    <w:rsid w:val="7F0709B3"/>
    <w:rsid w:val="7F477001"/>
    <w:rsid w:val="7F58120E"/>
    <w:rsid w:val="7F5D6825"/>
    <w:rsid w:val="7F8738A2"/>
    <w:rsid w:val="7F9D1317"/>
    <w:rsid w:val="7FB4040F"/>
    <w:rsid w:val="7FD42D0C"/>
    <w:rsid w:val="7FE17456"/>
    <w:rsid w:val="7FE56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3">
    <w:name w:val="heading 3"/>
    <w:basedOn w:val="1"/>
    <w:next w:val="1"/>
    <w:link w:val="28"/>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4">
    <w:name w:val="heading 4"/>
    <w:basedOn w:val="1"/>
    <w:next w:val="1"/>
    <w:autoRedefine/>
    <w:qFormat/>
    <w:uiPriority w:val="0"/>
    <w:pPr>
      <w:keepNext/>
      <w:keepLines/>
      <w:spacing w:beforeLines="50" w:afterLines="50"/>
      <w:outlineLvl w:val="3"/>
    </w:pPr>
    <w:rPr>
      <w:rFonts w:ascii="Arial" w:hAnsi="Arial"/>
      <w:b/>
      <w:bCs/>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ocument Map"/>
    <w:basedOn w:val="1"/>
    <w:link w:val="29"/>
    <w:autoRedefine/>
    <w:qFormat/>
    <w:uiPriority w:val="0"/>
    <w:rPr>
      <w:rFonts w:ascii="宋体" w:eastAsia="宋体"/>
      <w:sz w:val="18"/>
      <w:szCs w:val="18"/>
    </w:rPr>
  </w:style>
  <w:style w:type="paragraph" w:styleId="6">
    <w:name w:val="annotation text"/>
    <w:basedOn w:val="1"/>
    <w:autoRedefine/>
    <w:qFormat/>
    <w:uiPriority w:val="0"/>
    <w:pPr>
      <w:jc w:val="left"/>
    </w:pPr>
  </w:style>
  <w:style w:type="paragraph" w:styleId="7">
    <w:name w:val="Body Text"/>
    <w:basedOn w:val="1"/>
    <w:next w:val="8"/>
    <w:link w:val="27"/>
    <w:autoRedefine/>
    <w:qFormat/>
    <w:uiPriority w:val="0"/>
    <w:pPr>
      <w:spacing w:after="120"/>
    </w:pPr>
  </w:style>
  <w:style w:type="paragraph" w:customStyle="1" w:styleId="8">
    <w:name w:val="Default"/>
    <w:next w:val="1"/>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styleId="9">
    <w:name w:val="Body Text Indent"/>
    <w:basedOn w:val="1"/>
    <w:next w:val="10"/>
    <w:link w:val="33"/>
    <w:autoRedefine/>
    <w:qFormat/>
    <w:uiPriority w:val="99"/>
    <w:pPr>
      <w:spacing w:line="500" w:lineRule="exact"/>
      <w:ind w:firstLine="420"/>
    </w:pPr>
    <w:rPr>
      <w:sz w:val="32"/>
      <w:szCs w:val="20"/>
    </w:rPr>
  </w:style>
  <w:style w:type="paragraph" w:styleId="10">
    <w:name w:val="Body Text First Indent"/>
    <w:basedOn w:val="1"/>
    <w:autoRedefine/>
    <w:qFormat/>
    <w:uiPriority w:val="0"/>
    <w:pPr>
      <w:spacing w:line="440" w:lineRule="exact"/>
      <w:ind w:firstLine="504"/>
    </w:pPr>
    <w:rPr>
      <w:sz w:val="21"/>
    </w:rPr>
  </w:style>
  <w:style w:type="paragraph" w:styleId="11">
    <w:name w:val="Plain Text"/>
    <w:basedOn w:val="1"/>
    <w:next w:val="12"/>
    <w:autoRedefine/>
    <w:qFormat/>
    <w:uiPriority w:val="99"/>
    <w:rPr>
      <w:rFonts w:ascii="宋体" w:hAnsi="Courier New"/>
      <w:sz w:val="21"/>
    </w:rPr>
  </w:style>
  <w:style w:type="paragraph" w:styleId="12">
    <w:name w:val="List Number 5"/>
    <w:basedOn w:val="1"/>
    <w:next w:val="10"/>
    <w:autoRedefine/>
    <w:qFormat/>
    <w:uiPriority w:val="0"/>
    <w:pPr>
      <w:numPr>
        <w:ilvl w:val="0"/>
        <w:numId w:val="1"/>
      </w:numPr>
    </w:pPr>
  </w:style>
  <w:style w:type="paragraph" w:styleId="13">
    <w:name w:val="Balloon Text"/>
    <w:basedOn w:val="1"/>
    <w:link w:val="26"/>
    <w:autoRedefine/>
    <w:qFormat/>
    <w:uiPriority w:val="0"/>
    <w:rPr>
      <w:sz w:val="18"/>
      <w:szCs w:val="18"/>
    </w:rPr>
  </w:style>
  <w:style w:type="paragraph" w:styleId="14">
    <w:name w:val="footer"/>
    <w:basedOn w:val="1"/>
    <w:link w:val="24"/>
    <w:autoRedefine/>
    <w:qFormat/>
    <w:uiPriority w:val="99"/>
    <w:pPr>
      <w:tabs>
        <w:tab w:val="center" w:pos="4153"/>
        <w:tab w:val="right" w:pos="8306"/>
      </w:tabs>
    </w:pPr>
    <w:rPr>
      <w:sz w:val="18"/>
      <w:szCs w:val="18"/>
    </w:rPr>
  </w:style>
  <w:style w:type="paragraph" w:styleId="15">
    <w:name w:val="header"/>
    <w:basedOn w:val="1"/>
    <w:link w:val="23"/>
    <w:autoRedefine/>
    <w:qFormat/>
    <w:uiPriority w:val="0"/>
    <w:pPr>
      <w:pBdr>
        <w:bottom w:val="single" w:color="auto" w:sz="6" w:space="1"/>
      </w:pBdr>
      <w:tabs>
        <w:tab w:val="center" w:pos="4153"/>
        <w:tab w:val="right" w:pos="8306"/>
      </w:tabs>
      <w:jc w:val="center"/>
    </w:pPr>
    <w:rPr>
      <w:sz w:val="18"/>
      <w:szCs w:val="18"/>
    </w:rPr>
  </w:style>
  <w:style w:type="paragraph" w:styleId="16">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7">
    <w:name w:val="Body Text First Indent 2"/>
    <w:basedOn w:val="1"/>
    <w:next w:val="16"/>
    <w:link w:val="32"/>
    <w:autoRedefine/>
    <w:qFormat/>
    <w:uiPriority w:val="99"/>
    <w:pPr>
      <w:spacing w:after="120" w:line="240" w:lineRule="auto"/>
      <w:ind w:left="420" w:leftChars="200"/>
    </w:pPr>
    <w:rPr>
      <w:sz w:val="21"/>
    </w:rPr>
  </w:style>
  <w:style w:type="character" w:styleId="20">
    <w:name w:val="annotation reference"/>
    <w:basedOn w:val="19"/>
    <w:autoRedefine/>
    <w:qFormat/>
    <w:uiPriority w:val="0"/>
    <w:rPr>
      <w:sz w:val="21"/>
      <w:szCs w:val="21"/>
    </w:rPr>
  </w:style>
  <w:style w:type="paragraph" w:customStyle="1" w:styleId="21">
    <w:name w:val="xx正文"/>
    <w:basedOn w:val="1"/>
    <w:autoRedefine/>
    <w:qFormat/>
    <w:uiPriority w:val="0"/>
    <w:rPr>
      <w:szCs w:val="28"/>
    </w:rPr>
  </w:style>
  <w:style w:type="table" w:customStyle="1" w:styleId="22">
    <w:name w:val="Table Normal"/>
    <w:autoRedefine/>
    <w:qFormat/>
    <w:uiPriority w:val="0"/>
    <w:tblPr>
      <w:tblCellMar>
        <w:top w:w="0" w:type="dxa"/>
        <w:left w:w="0" w:type="dxa"/>
        <w:bottom w:w="0" w:type="dxa"/>
        <w:right w:w="0" w:type="dxa"/>
      </w:tblCellMar>
    </w:tblPr>
  </w:style>
  <w:style w:type="character" w:customStyle="1" w:styleId="23">
    <w:name w:val="页眉 字符"/>
    <w:basedOn w:val="19"/>
    <w:link w:val="15"/>
    <w:autoRedefine/>
    <w:qFormat/>
    <w:uiPriority w:val="0"/>
    <w:rPr>
      <w:rFonts w:eastAsia="Arial"/>
      <w:snapToGrid w:val="0"/>
      <w:color w:val="000000"/>
      <w:sz w:val="18"/>
      <w:szCs w:val="18"/>
    </w:rPr>
  </w:style>
  <w:style w:type="character" w:customStyle="1" w:styleId="24">
    <w:name w:val="页脚 字符"/>
    <w:basedOn w:val="19"/>
    <w:link w:val="14"/>
    <w:autoRedefine/>
    <w:qFormat/>
    <w:uiPriority w:val="99"/>
    <w:rPr>
      <w:rFonts w:eastAsia="Arial"/>
      <w:snapToGrid w:val="0"/>
      <w:color w:val="000000"/>
      <w:sz w:val="18"/>
      <w:szCs w:val="18"/>
    </w:rPr>
  </w:style>
  <w:style w:type="paragraph" w:styleId="25">
    <w:name w:val="List Paragraph"/>
    <w:basedOn w:val="1"/>
    <w:autoRedefine/>
    <w:qFormat/>
    <w:uiPriority w:val="99"/>
    <w:pPr>
      <w:ind w:firstLine="420"/>
    </w:pPr>
  </w:style>
  <w:style w:type="character" w:customStyle="1" w:styleId="26">
    <w:name w:val="批注框文本 字符"/>
    <w:basedOn w:val="19"/>
    <w:link w:val="13"/>
    <w:autoRedefine/>
    <w:qFormat/>
    <w:uiPriority w:val="0"/>
    <w:rPr>
      <w:rFonts w:eastAsia="Arial"/>
      <w:snapToGrid w:val="0"/>
      <w:color w:val="000000"/>
      <w:sz w:val="18"/>
      <w:szCs w:val="18"/>
    </w:rPr>
  </w:style>
  <w:style w:type="character" w:customStyle="1" w:styleId="27">
    <w:name w:val="正文文本 字符"/>
    <w:basedOn w:val="19"/>
    <w:link w:val="7"/>
    <w:autoRedefine/>
    <w:qFormat/>
    <w:uiPriority w:val="0"/>
    <w:rPr>
      <w:rFonts w:eastAsia="Arial"/>
      <w:snapToGrid w:val="0"/>
      <w:color w:val="000000"/>
      <w:sz w:val="21"/>
      <w:szCs w:val="21"/>
    </w:rPr>
  </w:style>
  <w:style w:type="character" w:customStyle="1" w:styleId="28">
    <w:name w:val="标题 3 字符"/>
    <w:basedOn w:val="19"/>
    <w:link w:val="3"/>
    <w:autoRedefine/>
    <w:qFormat/>
    <w:uiPriority w:val="0"/>
    <w:rPr>
      <w:rFonts w:ascii="Times New Roman" w:hAnsi="Times New Roman" w:cs="Times New Roman"/>
      <w:b/>
      <w:bCs/>
      <w:kern w:val="2"/>
      <w:sz w:val="28"/>
      <w:szCs w:val="32"/>
    </w:rPr>
  </w:style>
  <w:style w:type="character" w:customStyle="1" w:styleId="29">
    <w:name w:val="文档结构图 字符"/>
    <w:basedOn w:val="19"/>
    <w:link w:val="5"/>
    <w:autoRedefine/>
    <w:qFormat/>
    <w:uiPriority w:val="0"/>
    <w:rPr>
      <w:rFonts w:ascii="宋体"/>
      <w:snapToGrid w:val="0"/>
      <w:color w:val="000000"/>
      <w:sz w:val="18"/>
      <w:szCs w:val="18"/>
    </w:rPr>
  </w:style>
  <w:style w:type="paragraph" w:customStyle="1" w:styleId="30">
    <w:name w:val="表格"/>
    <w:basedOn w:val="1"/>
    <w:link w:val="31"/>
    <w:autoRedefine/>
    <w:qFormat/>
    <w:uiPriority w:val="0"/>
    <w:pPr>
      <w:spacing w:line="240" w:lineRule="auto"/>
      <w:ind w:firstLine="0" w:firstLineChars="0"/>
      <w:jc w:val="center"/>
    </w:pPr>
    <w:rPr>
      <w:rFonts w:ascii="宋体" w:hAnsi="宋体" w:eastAsia="仿宋" w:cs="宋体"/>
      <w:sz w:val="21"/>
    </w:rPr>
  </w:style>
  <w:style w:type="character" w:customStyle="1" w:styleId="31">
    <w:name w:val="表格 字符"/>
    <w:basedOn w:val="19"/>
    <w:link w:val="30"/>
    <w:autoRedefine/>
    <w:qFormat/>
    <w:uiPriority w:val="0"/>
    <w:rPr>
      <w:rFonts w:ascii="宋体" w:hAnsi="宋体" w:eastAsia="仿宋" w:cs="宋体"/>
      <w:snapToGrid w:val="0"/>
      <w:color w:val="000000"/>
      <w:sz w:val="21"/>
      <w:szCs w:val="21"/>
    </w:rPr>
  </w:style>
  <w:style w:type="character" w:customStyle="1" w:styleId="32">
    <w:name w:val="正文首行缩进 2 字符"/>
    <w:basedOn w:val="33"/>
    <w:link w:val="17"/>
    <w:autoRedefine/>
    <w:qFormat/>
    <w:uiPriority w:val="0"/>
    <w:rPr>
      <w:kern w:val="2"/>
      <w:sz w:val="28"/>
      <w:szCs w:val="24"/>
    </w:rPr>
  </w:style>
  <w:style w:type="character" w:customStyle="1" w:styleId="33">
    <w:name w:val="正文文本缩进 字符"/>
    <w:basedOn w:val="19"/>
    <w:link w:val="9"/>
    <w:autoRedefine/>
    <w:qFormat/>
    <w:uiPriority w:val="0"/>
    <w:rPr>
      <w:kern w:val="2"/>
      <w:sz w:val="28"/>
      <w:szCs w:val="24"/>
    </w:rPr>
  </w:style>
  <w:style w:type="paragraph" w:customStyle="1" w:styleId="34">
    <w:name w:val="别动"/>
    <w:basedOn w:val="35"/>
    <w:qFormat/>
    <w:uiPriority w:val="0"/>
    <w:pPr>
      <w:spacing w:line="340" w:lineRule="exact"/>
    </w:pPr>
    <w:rPr>
      <w:rFonts w:ascii="Times New Roman" w:hAnsi="Times New Roman" w:eastAsia="宋体"/>
      <w:b w:val="0"/>
      <w:sz w:val="21"/>
    </w:rPr>
  </w:style>
  <w:style w:type="paragraph" w:customStyle="1" w:styleId="35">
    <w:name w:val="表头"/>
    <w:basedOn w:val="1"/>
    <w:next w:val="34"/>
    <w:autoRedefine/>
    <w:qFormat/>
    <w:uiPriority w:val="0"/>
    <w:pPr>
      <w:spacing w:line="240" w:lineRule="auto"/>
      <w:ind w:firstLine="0" w:firstLineChars="0"/>
      <w:jc w:val="center"/>
    </w:pPr>
    <w:rPr>
      <w:rFonts w:hint="eastAsia" w:cs="Times New Roman"/>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6033</Words>
  <Characters>6363</Characters>
  <Lines>62</Lines>
  <Paragraphs>17</Paragraphs>
  <TotalTime>49</TotalTime>
  <ScaleCrop>false</ScaleCrop>
  <LinksUpToDate>false</LinksUpToDate>
  <CharactersWithSpaces>6404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飞</cp:lastModifiedBy>
  <cp:lastPrinted>2025-08-05T11:32:38Z</cp:lastPrinted>
  <dcterms:modified xsi:type="dcterms:W3CDTF">2025-08-05T11:52:51Z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2052-12.1.0.21915</vt:lpwstr>
  </property>
  <property fmtid="{D5CDD505-2E9C-101B-9397-08002B2CF9AE}" pid="5" name="ICV">
    <vt:lpwstr>F94AAAEE0494405AAD40633F07FB415F_13</vt:lpwstr>
  </property>
  <property fmtid="{D5CDD505-2E9C-101B-9397-08002B2CF9AE}" pid="6" name="KSOTemplateDocerSaveRecord">
    <vt:lpwstr>eyJoZGlkIjoiZWRhMDhlZTZkMDhlY2MxMmUxYzAwYzJkMzgwYWNkOGQiLCJ1c2VySWQiOiI2MDE2MDMxMTMifQ==</vt:lpwstr>
  </property>
</Properties>
</file>