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48C8DE">
      <w:pPr>
        <w:keepNext w:val="0"/>
        <w:keepLines w:val="0"/>
        <w:pageBreakBefore w:val="0"/>
        <w:widowControl/>
        <w:kinsoku w:val="0"/>
        <w:wordWrap/>
        <w:overflowPunct/>
        <w:topLinePunct w:val="0"/>
        <w:autoSpaceDE w:val="0"/>
        <w:autoSpaceDN w:val="0"/>
        <w:bidi w:val="0"/>
        <w:adjustRightInd w:val="0"/>
        <w:snapToGrid w:val="0"/>
        <w:spacing w:line="460" w:lineRule="exact"/>
        <w:ind w:firstLine="208" w:firstLineChars="50"/>
        <w:jc w:val="center"/>
        <w:textAlignment w:val="baseline"/>
        <w:rPr>
          <w:rFonts w:ascii="宋体" w:hAnsi="宋体" w:eastAsia="宋体" w:cs="宋体"/>
          <w:spacing w:val="-12"/>
          <w:sz w:val="44"/>
          <w:szCs w:val="44"/>
        </w:rPr>
      </w:pPr>
      <w:bookmarkStart w:id="0" w:name="OLE_LINK2"/>
    </w:p>
    <w:p w14:paraId="536CE87F">
      <w:pPr>
        <w:keepNext w:val="0"/>
        <w:keepLines w:val="0"/>
        <w:pageBreakBefore w:val="0"/>
        <w:widowControl/>
        <w:kinsoku w:val="0"/>
        <w:wordWrap/>
        <w:overflowPunct/>
        <w:topLinePunct w:val="0"/>
        <w:autoSpaceDE w:val="0"/>
        <w:autoSpaceDN w:val="0"/>
        <w:bidi w:val="0"/>
        <w:adjustRightInd w:val="0"/>
        <w:snapToGrid w:val="0"/>
        <w:spacing w:line="460" w:lineRule="exact"/>
        <w:ind w:left="0" w:leftChars="0" w:firstLine="0" w:firstLineChars="0"/>
        <w:jc w:val="both"/>
        <w:textAlignment w:val="baseline"/>
        <w:rPr>
          <w:rFonts w:ascii="宋体" w:hAnsi="宋体" w:eastAsia="宋体" w:cs="宋体"/>
          <w:spacing w:val="-12"/>
          <w:sz w:val="44"/>
          <w:szCs w:val="44"/>
        </w:rPr>
      </w:pPr>
    </w:p>
    <w:p w14:paraId="08031B11">
      <w:pPr>
        <w:keepNext w:val="0"/>
        <w:keepLines w:val="0"/>
        <w:pageBreakBefore w:val="0"/>
        <w:widowControl w:val="0"/>
        <w:tabs>
          <w:tab w:val="left" w:pos="364"/>
          <w:tab w:val="left" w:pos="1246"/>
          <w:tab w:val="left" w:pos="2535"/>
          <w:tab w:val="center" w:pos="8623"/>
        </w:tabs>
        <w:kinsoku/>
        <w:wordWrap/>
        <w:overflowPunct/>
        <w:topLinePunct w:val="0"/>
        <w:autoSpaceDE/>
        <w:autoSpaceDN/>
        <w:bidi w:val="0"/>
        <w:adjustRightInd/>
        <w:snapToGrid/>
        <w:spacing w:line="560" w:lineRule="exact"/>
        <w:ind w:firstLine="0" w:firstLineChars="0"/>
        <w:jc w:val="center"/>
        <w:textAlignment w:val="auto"/>
        <w:rPr>
          <w:rFonts w:hint="eastAsia" w:ascii="方正粗黑宋简体" w:hAnsi="方正粗黑宋简体" w:eastAsia="方正粗黑宋简体" w:cs="方正粗黑宋简体"/>
          <w:bCs/>
          <w:snapToGrid/>
          <w:kern w:val="2"/>
          <w:sz w:val="44"/>
          <w:szCs w:val="44"/>
          <w:lang w:eastAsia="zh-CN"/>
        </w:rPr>
      </w:pPr>
      <w:r>
        <w:rPr>
          <w:rFonts w:hint="eastAsia" w:ascii="方正粗黑宋简体" w:hAnsi="方正粗黑宋简体" w:eastAsia="方正粗黑宋简体" w:cs="方正粗黑宋简体"/>
          <w:bCs/>
          <w:snapToGrid/>
          <w:kern w:val="2"/>
          <w:sz w:val="44"/>
          <w:szCs w:val="44"/>
          <w:lang w:eastAsia="zh-CN"/>
        </w:rPr>
        <w:t>关于对《</w:t>
      </w:r>
      <w:bookmarkStart w:id="1" w:name="OLE_LINK1"/>
      <w:r>
        <w:rPr>
          <w:rFonts w:hint="eastAsia" w:ascii="方正粗黑宋简体" w:hAnsi="方正粗黑宋简体" w:eastAsia="方正粗黑宋简体" w:cs="方正粗黑宋简体"/>
          <w:bCs/>
          <w:snapToGrid/>
          <w:kern w:val="2"/>
          <w:sz w:val="44"/>
          <w:szCs w:val="44"/>
          <w:lang w:eastAsia="zh-CN"/>
        </w:rPr>
        <w:t>新疆弘晟诚达建材有限公司吐鲁番市高昌区葡萄沟北2号砂石料矿矿产资源开发</w:t>
      </w:r>
    </w:p>
    <w:p w14:paraId="101E2681">
      <w:pPr>
        <w:keepNext w:val="0"/>
        <w:keepLines w:val="0"/>
        <w:pageBreakBefore w:val="0"/>
        <w:widowControl w:val="0"/>
        <w:tabs>
          <w:tab w:val="left" w:pos="364"/>
          <w:tab w:val="left" w:pos="1246"/>
          <w:tab w:val="left" w:pos="2535"/>
          <w:tab w:val="center" w:pos="8623"/>
        </w:tabs>
        <w:kinsoku/>
        <w:wordWrap/>
        <w:overflowPunct/>
        <w:topLinePunct w:val="0"/>
        <w:autoSpaceDE/>
        <w:autoSpaceDN/>
        <w:bidi w:val="0"/>
        <w:adjustRightInd/>
        <w:snapToGrid/>
        <w:spacing w:line="560" w:lineRule="exact"/>
        <w:ind w:firstLine="0" w:firstLineChars="0"/>
        <w:jc w:val="center"/>
        <w:textAlignment w:val="auto"/>
        <w:rPr>
          <w:rFonts w:hint="eastAsia" w:ascii="方正粗黑宋简体" w:hAnsi="方正粗黑宋简体" w:eastAsia="方正粗黑宋简体" w:cs="方正粗黑宋简体"/>
          <w:bCs/>
          <w:snapToGrid/>
          <w:kern w:val="2"/>
          <w:sz w:val="44"/>
          <w:szCs w:val="44"/>
          <w:lang w:eastAsia="zh-CN"/>
        </w:rPr>
      </w:pPr>
      <w:r>
        <w:rPr>
          <w:rFonts w:hint="eastAsia" w:ascii="方正粗黑宋简体" w:hAnsi="方正粗黑宋简体" w:eastAsia="方正粗黑宋简体" w:cs="方正粗黑宋简体"/>
          <w:bCs/>
          <w:snapToGrid/>
          <w:kern w:val="2"/>
          <w:sz w:val="44"/>
          <w:szCs w:val="44"/>
          <w:lang w:eastAsia="zh-CN"/>
        </w:rPr>
        <w:t>利用与生态保护修复方案</w:t>
      </w:r>
      <w:bookmarkEnd w:id="1"/>
      <w:r>
        <w:rPr>
          <w:rFonts w:hint="eastAsia" w:ascii="方正粗黑宋简体" w:hAnsi="方正粗黑宋简体" w:eastAsia="方正粗黑宋简体" w:cs="方正粗黑宋简体"/>
          <w:bCs/>
          <w:snapToGrid/>
          <w:kern w:val="2"/>
          <w:sz w:val="44"/>
          <w:szCs w:val="44"/>
          <w:lang w:eastAsia="zh-CN"/>
        </w:rPr>
        <w:t>》</w:t>
      </w:r>
    </w:p>
    <w:p w14:paraId="3AD00CA2">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粗黑宋简体" w:hAnsi="方正粗黑宋简体" w:eastAsia="方正粗黑宋简体" w:cs="方正粗黑宋简体"/>
          <w:bCs/>
          <w:snapToGrid/>
          <w:spacing w:val="20"/>
          <w:kern w:val="2"/>
          <w:sz w:val="44"/>
          <w:szCs w:val="44"/>
        </w:rPr>
      </w:pPr>
      <w:r>
        <w:rPr>
          <w:rFonts w:hint="eastAsia" w:ascii="方正粗黑宋简体" w:hAnsi="方正粗黑宋简体" w:eastAsia="方正粗黑宋简体" w:cs="方正粗黑宋简体"/>
          <w:bCs/>
          <w:snapToGrid/>
          <w:spacing w:val="20"/>
          <w:kern w:val="2"/>
          <w:sz w:val="44"/>
          <w:szCs w:val="44"/>
        </w:rPr>
        <w:t>专家意见</w:t>
      </w:r>
      <w:r>
        <w:rPr>
          <w:rFonts w:hint="eastAsia" w:ascii="方正粗黑宋简体" w:hAnsi="方正粗黑宋简体" w:eastAsia="方正粗黑宋简体" w:cs="方正粗黑宋简体"/>
          <w:bCs/>
          <w:snapToGrid/>
          <w:spacing w:val="20"/>
          <w:kern w:val="2"/>
          <w:sz w:val="44"/>
          <w:szCs w:val="44"/>
          <w:lang w:val="en-US" w:eastAsia="zh-CN"/>
        </w:rPr>
        <w:t>的</w:t>
      </w:r>
      <w:r>
        <w:rPr>
          <w:rFonts w:hint="eastAsia" w:ascii="方正粗黑宋简体" w:hAnsi="方正粗黑宋简体" w:eastAsia="方正粗黑宋简体" w:cs="方正粗黑宋简体"/>
          <w:bCs/>
          <w:snapToGrid/>
          <w:spacing w:val="20"/>
          <w:kern w:val="2"/>
          <w:sz w:val="44"/>
          <w:szCs w:val="44"/>
        </w:rPr>
        <w:t>认定</w:t>
      </w:r>
    </w:p>
    <w:p w14:paraId="07C61586">
      <w:pPr>
        <w:pStyle w:val="15"/>
        <w:keepNext w:val="0"/>
        <w:keepLines w:val="0"/>
        <w:pageBreakBefore w:val="0"/>
        <w:wordWrap/>
        <w:overflowPunct/>
        <w:topLinePunct w:val="0"/>
        <w:bidi w:val="0"/>
        <w:spacing w:line="360" w:lineRule="auto"/>
        <w:rPr>
          <w:rFonts w:hint="eastAsia"/>
          <w:lang w:val="en-US" w:eastAsia="zh-CN"/>
        </w:rPr>
      </w:pPr>
    </w:p>
    <w:bookmarkEnd w:id="0"/>
    <w:p w14:paraId="55A31577">
      <w:pPr>
        <w:spacing w:line="248" w:lineRule="auto"/>
        <w:ind w:firstLine="560"/>
        <w:rPr>
          <w:rFonts w:ascii="宋体" w:hAnsi="宋体" w:eastAsia="宋体" w:cs="宋体"/>
          <w:color w:val="auto"/>
        </w:rPr>
      </w:pPr>
    </w:p>
    <w:p w14:paraId="37B2E242">
      <w:pPr>
        <w:spacing w:line="248" w:lineRule="auto"/>
        <w:ind w:firstLine="560"/>
        <w:rPr>
          <w:rFonts w:ascii="宋体" w:hAnsi="宋体" w:eastAsia="宋体" w:cs="宋体"/>
          <w:color w:val="auto"/>
        </w:rPr>
      </w:pPr>
    </w:p>
    <w:p w14:paraId="3017FF1F">
      <w:pPr>
        <w:spacing w:line="248" w:lineRule="auto"/>
        <w:ind w:firstLine="560"/>
        <w:rPr>
          <w:rFonts w:ascii="宋体" w:hAnsi="宋体" w:eastAsia="宋体" w:cs="宋体"/>
          <w:color w:val="auto"/>
        </w:rPr>
      </w:pPr>
    </w:p>
    <w:p w14:paraId="39936A34">
      <w:pPr>
        <w:spacing w:line="248" w:lineRule="auto"/>
        <w:ind w:firstLine="560"/>
        <w:rPr>
          <w:rFonts w:ascii="宋体" w:hAnsi="宋体" w:eastAsia="宋体" w:cs="宋体"/>
          <w:color w:val="auto"/>
        </w:rPr>
      </w:pPr>
    </w:p>
    <w:p w14:paraId="7EBD24E1">
      <w:pPr>
        <w:spacing w:line="248" w:lineRule="auto"/>
        <w:ind w:firstLine="560"/>
        <w:rPr>
          <w:rFonts w:ascii="宋体" w:hAnsi="宋体" w:eastAsia="宋体" w:cs="宋体"/>
        </w:rPr>
      </w:pPr>
    </w:p>
    <w:p w14:paraId="4AF74E42">
      <w:pPr>
        <w:spacing w:line="248" w:lineRule="auto"/>
        <w:ind w:firstLine="560"/>
        <w:rPr>
          <w:rFonts w:ascii="宋体" w:hAnsi="宋体" w:eastAsia="宋体" w:cs="宋体"/>
        </w:rPr>
      </w:pPr>
    </w:p>
    <w:p w14:paraId="3DD769BD">
      <w:pPr>
        <w:spacing w:line="248" w:lineRule="auto"/>
        <w:ind w:firstLine="560"/>
        <w:rPr>
          <w:rFonts w:ascii="宋体" w:hAnsi="宋体" w:eastAsia="宋体" w:cs="宋体"/>
        </w:rPr>
      </w:pPr>
    </w:p>
    <w:p w14:paraId="0B40C540">
      <w:pPr>
        <w:spacing w:line="248" w:lineRule="auto"/>
        <w:ind w:firstLine="560"/>
        <w:rPr>
          <w:rFonts w:ascii="宋体" w:hAnsi="宋体" w:eastAsia="宋体" w:cs="宋体"/>
        </w:rPr>
      </w:pPr>
    </w:p>
    <w:p w14:paraId="1572ABA5">
      <w:pPr>
        <w:spacing w:line="248" w:lineRule="auto"/>
        <w:ind w:firstLine="560"/>
        <w:rPr>
          <w:rFonts w:ascii="宋体" w:hAnsi="宋体" w:eastAsia="宋体" w:cs="宋体"/>
        </w:rPr>
      </w:pPr>
    </w:p>
    <w:p w14:paraId="1BB4C13E">
      <w:pPr>
        <w:spacing w:line="248" w:lineRule="auto"/>
        <w:ind w:firstLine="560"/>
        <w:rPr>
          <w:rFonts w:ascii="宋体" w:hAnsi="宋体" w:eastAsia="宋体" w:cs="宋体"/>
        </w:rPr>
      </w:pPr>
    </w:p>
    <w:p w14:paraId="2401C695">
      <w:pPr>
        <w:widowControl w:val="0"/>
        <w:kinsoku/>
        <w:autoSpaceDE/>
        <w:autoSpaceDN/>
        <w:adjustRightInd/>
        <w:snapToGrid/>
        <w:spacing w:line="600" w:lineRule="exact"/>
        <w:ind w:firstLine="0" w:firstLineChars="0"/>
        <w:jc w:val="center"/>
        <w:textAlignment w:val="auto"/>
        <w:rPr>
          <w:rFonts w:hint="eastAsia" w:ascii="黑体" w:hAnsi="黑体" w:eastAsia="黑体" w:cs="Times New Roman"/>
          <w:snapToGrid/>
          <w:kern w:val="2"/>
          <w:sz w:val="32"/>
          <w:szCs w:val="32"/>
          <w:lang w:val="en-US" w:eastAsia="zh-CN"/>
        </w:rPr>
      </w:pPr>
    </w:p>
    <w:p w14:paraId="081C79E7">
      <w:pPr>
        <w:widowControl w:val="0"/>
        <w:kinsoku/>
        <w:autoSpaceDE/>
        <w:autoSpaceDN/>
        <w:adjustRightInd/>
        <w:snapToGrid/>
        <w:spacing w:line="600" w:lineRule="exact"/>
        <w:ind w:firstLine="0" w:firstLineChars="0"/>
        <w:jc w:val="center"/>
        <w:textAlignment w:val="auto"/>
        <w:rPr>
          <w:rFonts w:hint="eastAsia" w:ascii="黑体" w:hAnsi="黑体" w:eastAsia="黑体" w:cs="Times New Roman"/>
          <w:snapToGrid/>
          <w:kern w:val="2"/>
          <w:sz w:val="32"/>
          <w:szCs w:val="32"/>
          <w:lang w:val="en-US" w:eastAsia="zh-CN"/>
        </w:rPr>
      </w:pPr>
    </w:p>
    <w:p w14:paraId="2881C671">
      <w:pPr>
        <w:widowControl w:val="0"/>
        <w:kinsoku/>
        <w:autoSpaceDE/>
        <w:autoSpaceDN/>
        <w:adjustRightInd/>
        <w:snapToGrid/>
        <w:spacing w:line="600" w:lineRule="exact"/>
        <w:ind w:firstLine="0" w:firstLineChars="0"/>
        <w:jc w:val="center"/>
        <w:textAlignment w:val="auto"/>
        <w:rPr>
          <w:rFonts w:hint="eastAsia" w:ascii="黑体" w:hAnsi="黑体" w:eastAsia="黑体" w:cs="Times New Roman"/>
          <w:snapToGrid/>
          <w:kern w:val="2"/>
          <w:sz w:val="32"/>
          <w:szCs w:val="32"/>
          <w:lang w:val="en-US" w:eastAsia="zh-CN"/>
        </w:rPr>
      </w:pPr>
    </w:p>
    <w:p w14:paraId="095F5CC3">
      <w:pPr>
        <w:widowControl w:val="0"/>
        <w:kinsoku/>
        <w:autoSpaceDE/>
        <w:autoSpaceDN/>
        <w:adjustRightInd/>
        <w:snapToGrid/>
        <w:spacing w:line="600" w:lineRule="exact"/>
        <w:ind w:firstLine="0" w:firstLineChars="0"/>
        <w:jc w:val="center"/>
        <w:textAlignment w:val="auto"/>
        <w:rPr>
          <w:rFonts w:hint="eastAsia" w:ascii="黑体" w:hAnsi="黑体" w:eastAsia="黑体" w:cs="Times New Roman"/>
          <w:snapToGrid/>
          <w:kern w:val="2"/>
          <w:sz w:val="32"/>
          <w:szCs w:val="32"/>
          <w:lang w:val="en-US" w:eastAsia="zh-CN"/>
        </w:rPr>
      </w:pPr>
    </w:p>
    <w:p w14:paraId="7F9CD733">
      <w:pPr>
        <w:widowControl w:val="0"/>
        <w:kinsoku/>
        <w:autoSpaceDE/>
        <w:autoSpaceDN/>
        <w:adjustRightInd/>
        <w:snapToGrid/>
        <w:spacing w:line="600" w:lineRule="exact"/>
        <w:ind w:firstLine="0" w:firstLineChars="0"/>
        <w:jc w:val="center"/>
        <w:textAlignment w:val="auto"/>
        <w:rPr>
          <w:rFonts w:hint="eastAsia" w:ascii="黑体" w:hAnsi="黑体" w:eastAsia="黑体" w:cs="Times New Roman"/>
          <w:snapToGrid/>
          <w:kern w:val="2"/>
          <w:sz w:val="32"/>
          <w:szCs w:val="32"/>
          <w:lang w:val="en-US" w:eastAsia="zh-CN"/>
        </w:rPr>
      </w:pPr>
    </w:p>
    <w:p w14:paraId="30D4D418">
      <w:pPr>
        <w:widowControl w:val="0"/>
        <w:kinsoku/>
        <w:autoSpaceDE/>
        <w:autoSpaceDN/>
        <w:adjustRightInd/>
        <w:snapToGrid/>
        <w:spacing w:line="600" w:lineRule="exact"/>
        <w:ind w:firstLine="0" w:firstLineChars="0"/>
        <w:jc w:val="center"/>
        <w:textAlignment w:val="auto"/>
        <w:rPr>
          <w:rFonts w:hint="eastAsia" w:ascii="黑体" w:hAnsi="黑体" w:eastAsia="黑体" w:cs="Times New Roman"/>
          <w:snapToGrid/>
          <w:kern w:val="2"/>
          <w:sz w:val="32"/>
          <w:szCs w:val="32"/>
          <w:lang w:val="en-US" w:eastAsia="zh-CN"/>
        </w:rPr>
      </w:pPr>
    </w:p>
    <w:p w14:paraId="669242F2">
      <w:pPr>
        <w:widowControl w:val="0"/>
        <w:kinsoku/>
        <w:autoSpaceDE/>
        <w:autoSpaceDN/>
        <w:adjustRightInd/>
        <w:snapToGrid/>
        <w:spacing w:line="600" w:lineRule="exact"/>
        <w:ind w:firstLine="2240" w:firstLineChars="700"/>
        <w:jc w:val="both"/>
        <w:textAlignment w:val="auto"/>
        <w:rPr>
          <w:rFonts w:hint="eastAsia" w:ascii="黑体" w:hAnsi="黑体" w:eastAsia="黑体" w:cs="Times New Roman"/>
          <w:snapToGrid/>
          <w:kern w:val="2"/>
          <w:sz w:val="32"/>
          <w:szCs w:val="32"/>
          <w:lang w:val="en-US" w:eastAsia="zh-CN"/>
        </w:rPr>
      </w:pPr>
    </w:p>
    <w:p w14:paraId="1BA53416">
      <w:pPr>
        <w:widowControl w:val="0"/>
        <w:kinsoku/>
        <w:autoSpaceDE/>
        <w:autoSpaceDN/>
        <w:adjustRightInd/>
        <w:snapToGrid/>
        <w:spacing w:line="600" w:lineRule="exact"/>
        <w:ind w:firstLine="2240" w:firstLineChars="700"/>
        <w:jc w:val="both"/>
        <w:textAlignment w:val="auto"/>
        <w:rPr>
          <w:rFonts w:hint="eastAsia" w:ascii="黑体" w:hAnsi="黑体" w:eastAsia="黑体" w:cs="Times New Roman"/>
          <w:snapToGrid/>
          <w:kern w:val="2"/>
          <w:sz w:val="32"/>
          <w:szCs w:val="32"/>
        </w:rPr>
      </w:pPr>
      <w:r>
        <w:rPr>
          <w:rFonts w:hint="eastAsia" w:ascii="黑体" w:hAnsi="黑体" w:eastAsia="黑体" w:cs="Times New Roman"/>
          <w:snapToGrid/>
          <w:kern w:val="2"/>
          <w:sz w:val="32"/>
          <w:szCs w:val="32"/>
          <w:lang w:val="en-US" w:eastAsia="zh-CN"/>
        </w:rPr>
        <w:t>吐鲁番市自然资源局高昌区分局</w:t>
      </w:r>
    </w:p>
    <w:p w14:paraId="7D9A8592">
      <w:pPr>
        <w:widowControl w:val="0"/>
        <w:kinsoku/>
        <w:autoSpaceDE/>
        <w:autoSpaceDN/>
        <w:adjustRightInd/>
        <w:snapToGrid/>
        <w:spacing w:line="600" w:lineRule="exact"/>
        <w:ind w:firstLine="0" w:firstLineChars="0"/>
        <w:jc w:val="center"/>
        <w:textAlignment w:val="auto"/>
        <w:rPr>
          <w:rFonts w:hint="eastAsia" w:ascii="黑体" w:hAnsi="黑体" w:eastAsia="黑体" w:cs="Times New Roman"/>
          <w:snapToGrid/>
          <w:kern w:val="2"/>
          <w:sz w:val="32"/>
          <w:szCs w:val="32"/>
        </w:rPr>
      </w:pPr>
    </w:p>
    <w:p w14:paraId="0345E94E">
      <w:pPr>
        <w:ind w:firstLine="560"/>
        <w:rPr>
          <w:rFonts w:ascii="宋体" w:hAnsi="宋体" w:eastAsia="宋体" w:cs="宋体"/>
          <w:color w:val="000000" w:themeColor="text1"/>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7" w:h="16839"/>
          <w:pgMar w:top="1431" w:right="1074" w:bottom="1070" w:left="1622" w:header="0" w:footer="875" w:gutter="0"/>
          <w:cols w:space="720" w:num="1"/>
        </w:sectPr>
      </w:pPr>
    </w:p>
    <w:p w14:paraId="14E953A1">
      <w:pPr>
        <w:keepNext w:val="0"/>
        <w:keepLines w:val="0"/>
        <w:pageBreakBefore w:val="0"/>
        <w:widowControl/>
        <w:kinsoku w:val="0"/>
        <w:wordWrap/>
        <w:overflowPunct/>
        <w:topLinePunct w:val="0"/>
        <w:autoSpaceDE w:val="0"/>
        <w:autoSpaceDN w:val="0"/>
        <w:bidi w:val="0"/>
        <w:adjustRightInd w:val="0"/>
        <w:snapToGrid w:val="0"/>
        <w:ind w:firstLine="564"/>
        <w:textAlignment w:val="baseline"/>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送审单位：新疆弘晟诚达建材有限公司</w:t>
      </w:r>
    </w:p>
    <w:p w14:paraId="01854567">
      <w:pPr>
        <w:keepNext w:val="0"/>
        <w:keepLines w:val="0"/>
        <w:pageBreakBefore w:val="0"/>
        <w:widowControl/>
        <w:kinsoku w:val="0"/>
        <w:wordWrap/>
        <w:overflowPunct/>
        <w:topLinePunct w:val="0"/>
        <w:autoSpaceDE w:val="0"/>
        <w:autoSpaceDN w:val="0"/>
        <w:bidi w:val="0"/>
        <w:adjustRightInd w:val="0"/>
        <w:snapToGrid w:val="0"/>
        <w:ind w:firstLine="564"/>
        <w:textAlignment w:val="baseline"/>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编制单位：新疆瑞新源矿业技术有限公司</w:t>
      </w:r>
    </w:p>
    <w:p w14:paraId="259B885D">
      <w:pPr>
        <w:keepNext w:val="0"/>
        <w:keepLines w:val="0"/>
        <w:pageBreakBefore w:val="0"/>
        <w:widowControl/>
        <w:kinsoku w:val="0"/>
        <w:wordWrap/>
        <w:overflowPunct/>
        <w:topLinePunct w:val="0"/>
        <w:autoSpaceDE w:val="0"/>
        <w:autoSpaceDN w:val="0"/>
        <w:bidi w:val="0"/>
        <w:adjustRightInd w:val="0"/>
        <w:snapToGrid w:val="0"/>
        <w:ind w:firstLine="564"/>
        <w:textAlignment w:val="baseline"/>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rPr>
        <w:t>项目负责人：孙学营</w:t>
      </w:r>
    </w:p>
    <w:p w14:paraId="3CA9A9C0">
      <w:pPr>
        <w:keepNext w:val="0"/>
        <w:keepLines w:val="0"/>
        <w:pageBreakBefore w:val="0"/>
        <w:widowControl/>
        <w:kinsoku w:val="0"/>
        <w:wordWrap/>
        <w:overflowPunct/>
        <w:topLinePunct w:val="0"/>
        <w:autoSpaceDE w:val="0"/>
        <w:autoSpaceDN w:val="0"/>
        <w:bidi w:val="0"/>
        <w:adjustRightInd w:val="0"/>
        <w:snapToGrid w:val="0"/>
        <w:ind w:firstLine="564"/>
        <w:textAlignment w:val="baseline"/>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 xml:space="preserve">编制人员：董正升  严伟  宋鹏飞 </w:t>
      </w:r>
    </w:p>
    <w:p w14:paraId="3DD6E219">
      <w:pPr>
        <w:keepNext w:val="0"/>
        <w:keepLines w:val="0"/>
        <w:pageBreakBefore w:val="0"/>
        <w:widowControl/>
        <w:kinsoku w:val="0"/>
        <w:wordWrap/>
        <w:overflowPunct/>
        <w:topLinePunct w:val="0"/>
        <w:autoSpaceDE w:val="0"/>
        <w:autoSpaceDN w:val="0"/>
        <w:bidi w:val="0"/>
        <w:adjustRightInd w:val="0"/>
        <w:snapToGrid w:val="0"/>
        <w:ind w:firstLine="564"/>
        <w:textAlignment w:val="baseline"/>
        <w:rPr>
          <w:rFonts w:hint="eastAsia" w:ascii="仿宋_GB2312" w:hAnsi="仿宋_GB2312" w:eastAsia="仿宋_GB2312" w:cs="仿宋_GB2312"/>
          <w:spacing w:val="1"/>
          <w:sz w:val="32"/>
          <w:szCs w:val="32"/>
          <w:lang w:eastAsia="zh-CN"/>
        </w:rPr>
      </w:pPr>
      <w:r>
        <w:rPr>
          <w:rFonts w:hint="eastAsia" w:ascii="仿宋_GB2312" w:hAnsi="仿宋_GB2312" w:eastAsia="仿宋_GB2312" w:cs="仿宋_GB2312"/>
          <w:spacing w:val="1"/>
          <w:sz w:val="32"/>
          <w:szCs w:val="32"/>
        </w:rPr>
        <w:t>评审专家组长：罗爱民</w:t>
      </w:r>
    </w:p>
    <w:p w14:paraId="5665F9D9">
      <w:pPr>
        <w:keepNext w:val="0"/>
        <w:keepLines w:val="0"/>
        <w:pageBreakBefore w:val="0"/>
        <w:widowControl/>
        <w:kinsoku w:val="0"/>
        <w:wordWrap/>
        <w:overflowPunct/>
        <w:topLinePunct w:val="0"/>
        <w:autoSpaceDE w:val="0"/>
        <w:autoSpaceDN w:val="0"/>
        <w:bidi w:val="0"/>
        <w:adjustRightInd w:val="0"/>
        <w:snapToGrid w:val="0"/>
        <w:ind w:firstLine="564"/>
        <w:textAlignment w:val="baseline"/>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评审专家组成员：黄铁栋 王惠江</w:t>
      </w:r>
    </w:p>
    <w:p w14:paraId="72AE9391">
      <w:pPr>
        <w:keepNext w:val="0"/>
        <w:keepLines w:val="0"/>
        <w:pageBreakBefore w:val="0"/>
        <w:widowControl/>
        <w:kinsoku w:val="0"/>
        <w:wordWrap/>
        <w:overflowPunct/>
        <w:topLinePunct w:val="0"/>
        <w:autoSpaceDE w:val="0"/>
        <w:autoSpaceDN w:val="0"/>
        <w:bidi w:val="0"/>
        <w:adjustRightInd w:val="0"/>
        <w:snapToGrid w:val="0"/>
        <w:ind w:firstLine="560"/>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认 定 单 位：吐鲁番市自然资源局高昌区分局</w:t>
      </w:r>
    </w:p>
    <w:p w14:paraId="41AAE1AA">
      <w:pPr>
        <w:keepNext w:val="0"/>
        <w:keepLines w:val="0"/>
        <w:pageBreakBefore w:val="0"/>
        <w:widowControl/>
        <w:kinsoku w:val="0"/>
        <w:wordWrap/>
        <w:overflowPunct/>
        <w:topLinePunct w:val="0"/>
        <w:autoSpaceDE w:val="0"/>
        <w:autoSpaceDN w:val="0"/>
        <w:bidi w:val="0"/>
        <w:adjustRightInd w:val="0"/>
        <w:snapToGrid w:val="0"/>
        <w:ind w:firstLine="564"/>
        <w:textAlignment w:val="baseline"/>
        <w:rPr>
          <w:rFonts w:hint="eastAsia" w:ascii="仿宋_GB2312" w:hAnsi="仿宋_GB2312" w:eastAsia="仿宋_GB2312" w:cs="仿宋_GB2312"/>
          <w:color w:val="auto"/>
          <w:spacing w:val="1"/>
          <w:sz w:val="32"/>
          <w:szCs w:val="32"/>
          <w:highlight w:val="none"/>
          <w:lang w:eastAsia="zh-CN"/>
        </w:rPr>
      </w:pPr>
      <w:r>
        <w:rPr>
          <w:rFonts w:hint="eastAsia" w:ascii="仿宋_GB2312" w:hAnsi="仿宋_GB2312" w:eastAsia="仿宋_GB2312" w:cs="仿宋_GB2312"/>
          <w:color w:val="auto"/>
          <w:spacing w:val="1"/>
          <w:sz w:val="32"/>
          <w:szCs w:val="32"/>
          <w:highlight w:val="none"/>
        </w:rPr>
        <w:t>评审方式：</w:t>
      </w:r>
      <w:r>
        <w:rPr>
          <w:rFonts w:hint="eastAsia" w:ascii="仿宋_GB2312" w:hAnsi="仿宋_GB2312" w:eastAsia="仿宋_GB2312" w:cs="仿宋_GB2312"/>
          <w:color w:val="auto"/>
          <w:spacing w:val="1"/>
          <w:sz w:val="32"/>
          <w:szCs w:val="32"/>
          <w:highlight w:val="none"/>
          <w:lang w:val="en-US" w:eastAsia="zh-CN"/>
        </w:rPr>
        <w:t>线上</w:t>
      </w:r>
      <w:r>
        <w:rPr>
          <w:rFonts w:hint="eastAsia" w:ascii="仿宋_GB2312" w:hAnsi="仿宋_GB2312" w:eastAsia="仿宋_GB2312" w:cs="仿宋_GB2312"/>
          <w:color w:val="auto"/>
          <w:spacing w:val="1"/>
          <w:sz w:val="32"/>
          <w:szCs w:val="32"/>
          <w:highlight w:val="none"/>
        </w:rPr>
        <w:t>会审</w:t>
      </w:r>
    </w:p>
    <w:p w14:paraId="1F46C035">
      <w:pPr>
        <w:keepNext w:val="0"/>
        <w:keepLines w:val="0"/>
        <w:pageBreakBefore w:val="0"/>
        <w:widowControl/>
        <w:kinsoku w:val="0"/>
        <w:wordWrap/>
        <w:overflowPunct/>
        <w:topLinePunct w:val="0"/>
        <w:autoSpaceDE w:val="0"/>
        <w:autoSpaceDN w:val="0"/>
        <w:bidi w:val="0"/>
        <w:adjustRightInd w:val="0"/>
        <w:snapToGrid w:val="0"/>
        <w:ind w:firstLine="564"/>
        <w:textAlignment w:val="baseline"/>
        <w:rPr>
          <w:rFonts w:hint="eastAsia" w:ascii="仿宋_GB2312" w:hAnsi="仿宋_GB2312" w:eastAsia="仿宋_GB2312" w:cs="仿宋_GB2312"/>
          <w:color w:val="auto"/>
          <w:spacing w:val="1"/>
          <w:sz w:val="32"/>
          <w:szCs w:val="32"/>
        </w:rPr>
      </w:pPr>
      <w:r>
        <w:rPr>
          <w:rFonts w:hint="eastAsia" w:ascii="仿宋_GB2312" w:hAnsi="仿宋_GB2312" w:eastAsia="仿宋_GB2312" w:cs="仿宋_GB2312"/>
          <w:color w:val="auto"/>
          <w:spacing w:val="1"/>
          <w:sz w:val="32"/>
          <w:szCs w:val="32"/>
        </w:rPr>
        <w:t>评审时间：202</w:t>
      </w:r>
      <w:r>
        <w:rPr>
          <w:rFonts w:hint="eastAsia" w:ascii="仿宋_GB2312" w:hAnsi="仿宋_GB2312" w:eastAsia="仿宋_GB2312" w:cs="仿宋_GB2312"/>
          <w:color w:val="auto"/>
          <w:spacing w:val="1"/>
          <w:sz w:val="32"/>
          <w:szCs w:val="32"/>
          <w:lang w:val="en-US" w:eastAsia="zh-CN"/>
        </w:rPr>
        <w:t>5</w:t>
      </w:r>
      <w:r>
        <w:rPr>
          <w:rFonts w:hint="eastAsia" w:ascii="仿宋_GB2312" w:hAnsi="仿宋_GB2312" w:eastAsia="仿宋_GB2312" w:cs="仿宋_GB2312"/>
          <w:color w:val="auto"/>
          <w:spacing w:val="1"/>
          <w:sz w:val="32"/>
          <w:szCs w:val="32"/>
        </w:rPr>
        <w:t>年</w:t>
      </w:r>
      <w:r>
        <w:rPr>
          <w:rFonts w:hint="eastAsia" w:ascii="仿宋_GB2312" w:hAnsi="仿宋_GB2312" w:eastAsia="仿宋_GB2312" w:cs="仿宋_GB2312"/>
          <w:color w:val="auto"/>
          <w:spacing w:val="1"/>
          <w:sz w:val="32"/>
          <w:szCs w:val="32"/>
          <w:lang w:val="en-US" w:eastAsia="zh-CN"/>
        </w:rPr>
        <w:t>7</w:t>
      </w:r>
      <w:r>
        <w:rPr>
          <w:rFonts w:hint="eastAsia" w:ascii="仿宋_GB2312" w:hAnsi="仿宋_GB2312" w:eastAsia="仿宋_GB2312" w:cs="仿宋_GB2312"/>
          <w:color w:val="auto"/>
          <w:spacing w:val="1"/>
          <w:sz w:val="32"/>
          <w:szCs w:val="32"/>
        </w:rPr>
        <w:t>月</w:t>
      </w:r>
      <w:r>
        <w:rPr>
          <w:rFonts w:hint="eastAsia" w:ascii="仿宋_GB2312" w:hAnsi="仿宋_GB2312" w:eastAsia="仿宋_GB2312" w:cs="仿宋_GB2312"/>
          <w:color w:val="auto"/>
          <w:spacing w:val="1"/>
          <w:sz w:val="32"/>
          <w:szCs w:val="32"/>
          <w:lang w:val="en-US" w:eastAsia="zh-CN"/>
        </w:rPr>
        <w:t>20</w:t>
      </w:r>
      <w:r>
        <w:rPr>
          <w:rFonts w:hint="eastAsia" w:ascii="仿宋_GB2312" w:hAnsi="仿宋_GB2312" w:eastAsia="仿宋_GB2312" w:cs="仿宋_GB2312"/>
          <w:color w:val="auto"/>
          <w:spacing w:val="1"/>
          <w:sz w:val="32"/>
          <w:szCs w:val="32"/>
        </w:rPr>
        <w:t>日</w:t>
      </w:r>
    </w:p>
    <w:p w14:paraId="4E87D2F5">
      <w:pPr>
        <w:ind w:firstLine="564"/>
        <w:rPr>
          <w:rFonts w:ascii="宋体" w:hAnsi="宋体" w:eastAsia="宋体" w:cs="宋体"/>
          <w:spacing w:val="1"/>
          <w:szCs w:val="28"/>
        </w:rPr>
      </w:pPr>
    </w:p>
    <w:p w14:paraId="5C40A299">
      <w:pPr>
        <w:spacing w:line="204" w:lineRule="auto"/>
        <w:ind w:firstLine="560"/>
        <w:rPr>
          <w:rFonts w:ascii="宋体" w:hAnsi="宋体" w:eastAsia="宋体" w:cs="宋体"/>
          <w:szCs w:val="28"/>
        </w:rPr>
      </w:pPr>
    </w:p>
    <w:p w14:paraId="1085219D">
      <w:pPr>
        <w:ind w:firstLine="560"/>
        <w:rPr>
          <w:rFonts w:ascii="宋体" w:hAnsi="宋体" w:eastAsia="宋体" w:cs="宋体"/>
        </w:rPr>
        <w:sectPr>
          <w:headerReference r:id="rId11" w:type="default"/>
          <w:footerReference r:id="rId12" w:type="default"/>
          <w:pgSz w:w="11907" w:h="16839"/>
          <w:pgMar w:top="1431" w:right="1785" w:bottom="1070" w:left="1661" w:header="0" w:footer="875" w:gutter="0"/>
          <w:cols w:space="720" w:num="1"/>
        </w:sectPr>
      </w:pPr>
    </w:p>
    <w:p w14:paraId="6C3C7CB7">
      <w:pPr>
        <w:keepNext w:val="0"/>
        <w:keepLines w:val="0"/>
        <w:pageBreakBefore w:val="0"/>
        <w:widowControl/>
        <w:kinsoku w:val="0"/>
        <w:wordWrap/>
        <w:overflowPunct/>
        <w:topLinePunct w:val="0"/>
        <w:autoSpaceDE w:val="0"/>
        <w:autoSpaceDN w:val="0"/>
        <w:bidi w:val="0"/>
        <w:adjustRightInd w:val="0"/>
        <w:snapToGrid w:val="0"/>
        <w:spacing w:line="560" w:lineRule="exact"/>
        <w:ind w:firstLine="56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附注：</w:t>
      </w:r>
    </w:p>
    <w:p w14:paraId="566C072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矿区范围拐点坐标（</w:t>
      </w:r>
      <w:r>
        <w:rPr>
          <w:rFonts w:hint="eastAsia" w:ascii="仿宋_GB2312" w:hAnsi="仿宋_GB2312" w:eastAsia="仿宋_GB2312" w:cs="仿宋_GB2312"/>
          <w:sz w:val="32"/>
          <w:szCs w:val="32"/>
          <w:lang w:val="en-US" w:eastAsia="zh-CN"/>
        </w:rPr>
        <w:t>略</w:t>
      </w:r>
      <w:r>
        <w:rPr>
          <w:rFonts w:hint="eastAsia" w:ascii="仿宋_GB2312" w:hAnsi="仿宋_GB2312" w:eastAsia="仿宋_GB2312" w:cs="仿宋_GB2312"/>
          <w:sz w:val="32"/>
          <w:szCs w:val="32"/>
          <w:lang w:eastAsia="zh-CN"/>
        </w:rPr>
        <w:t>）</w:t>
      </w:r>
    </w:p>
    <w:p w14:paraId="02A4C84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普查报告</w:t>
      </w:r>
      <w:r>
        <w:rPr>
          <w:rFonts w:hint="eastAsia" w:ascii="仿宋_GB2312" w:hAnsi="仿宋_GB2312" w:eastAsia="仿宋_GB2312" w:cs="仿宋_GB2312"/>
          <w:sz w:val="32"/>
          <w:szCs w:val="32"/>
        </w:rPr>
        <w:t>估算标高：</w:t>
      </w:r>
      <w:r>
        <w:rPr>
          <w:rFonts w:hint="eastAsia" w:ascii="仿宋_GB2312" w:hAnsi="仿宋_GB2312" w:eastAsia="仿宋_GB2312" w:cs="仿宋_GB2312"/>
          <w:sz w:val="32"/>
          <w:szCs w:val="32"/>
          <w:lang w:val="en-US" w:eastAsia="zh-CN"/>
        </w:rPr>
        <w:t>441～427m，设计开采标高441～427m</w:t>
      </w:r>
      <w:r>
        <w:rPr>
          <w:rFonts w:hint="eastAsia" w:ascii="仿宋_GB2312" w:hAnsi="仿宋_GB2312" w:eastAsia="仿宋_GB2312" w:cs="仿宋_GB2312"/>
          <w:sz w:val="32"/>
          <w:szCs w:val="32"/>
        </w:rPr>
        <w:t>。矿区范围内地表最高标高：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441m</w:t>
      </w:r>
      <w:r>
        <w:rPr>
          <w:rFonts w:hint="eastAsia" w:ascii="仿宋_GB2312" w:hAnsi="仿宋_GB2312" w:eastAsia="仿宋_GB2312" w:cs="仿宋_GB2312"/>
          <w:sz w:val="32"/>
          <w:szCs w:val="32"/>
        </w:rPr>
        <w:t>。</w:t>
      </w:r>
    </w:p>
    <w:p w14:paraId="2A09692B">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jc w:val="left"/>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、设计生产规模为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6万</w:t>
      </w:r>
      <w:r>
        <w:rPr>
          <w:rFonts w:hint="eastAsia" w:ascii="仿宋_GB2312" w:hAnsi="仿宋_GB2312" w:eastAsia="仿宋_GB2312" w:cs="仿宋_GB2312"/>
          <w:color w:val="auto"/>
          <w:sz w:val="32"/>
          <w:szCs w:val="32"/>
          <w:lang w:val="en-US" w:eastAsia="zh-CN"/>
        </w:rPr>
        <w:t>m</w:t>
      </w:r>
      <w:r>
        <w:rPr>
          <w:rFonts w:hint="eastAsia" w:ascii="仿宋_GB2312" w:hAnsi="仿宋_GB2312" w:eastAsia="仿宋_GB2312" w:cs="仿宋_GB2312"/>
          <w:color w:val="auto"/>
          <w:sz w:val="32"/>
          <w:szCs w:val="32"/>
          <w:vertAlign w:val="superscript"/>
          <w:lang w:val="en-US" w:eastAsia="zh-CN"/>
        </w:rPr>
        <w:t>3</w:t>
      </w:r>
      <w:r>
        <w:rPr>
          <w:rFonts w:hint="eastAsia" w:ascii="仿宋_GB2312" w:hAnsi="仿宋_GB2312" w:eastAsia="仿宋_GB2312" w:cs="仿宋_GB2312"/>
          <w:color w:val="000000" w:themeColor="text1"/>
          <w:sz w:val="32"/>
          <w:szCs w:val="32"/>
          <w14:textFill>
            <w14:solidFill>
              <w14:schemeClr w14:val="tx1"/>
            </w14:solidFill>
          </w14:textFill>
        </w:rPr>
        <w:t>/年。</w:t>
      </w:r>
    </w:p>
    <w:p w14:paraId="32C268C0">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、开采矿种：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建筑用砂矿。最终产品方案</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pacing w:val="1"/>
          <w:sz w:val="32"/>
          <w:szCs w:val="32"/>
          <w:lang w:val="en-US" w:eastAsia="zh-CN"/>
          <w14:textFill>
            <w14:solidFill>
              <w14:schemeClr w14:val="tx1"/>
            </w14:solidFill>
          </w14:textFill>
        </w:rPr>
        <w:t>0.15～5mm、5～20mm、20～40mm</w:t>
      </w:r>
      <w:r>
        <w:rPr>
          <w:rFonts w:hint="eastAsia" w:ascii="仿宋_GB2312" w:hAnsi="仿宋_GB2312" w:eastAsia="仿宋_GB2312" w:cs="仿宋_GB2312"/>
          <w:color w:val="auto"/>
          <w:sz w:val="32"/>
          <w:szCs w:val="32"/>
          <w:lang w:val="en-US" w:eastAsia="zh-CN"/>
        </w:rPr>
        <w:t>三种粒级砂石料矿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14:paraId="18BE4D04">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jc w:val="left"/>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、开采服务年限：</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10.20年</w:t>
      </w:r>
      <w:r>
        <w:rPr>
          <w:rFonts w:hint="eastAsia" w:ascii="仿宋_GB2312" w:hAnsi="仿宋_GB2312" w:eastAsia="仿宋_GB2312" w:cs="仿宋_GB2312"/>
          <w:color w:val="000000" w:themeColor="text1"/>
          <w:sz w:val="32"/>
          <w:szCs w:val="32"/>
          <w14:textFill>
            <w14:solidFill>
              <w14:schemeClr w14:val="tx1"/>
            </w14:solidFill>
          </w14:textFill>
        </w:rPr>
        <w:t>。</w:t>
      </w:r>
    </w:p>
    <w:p w14:paraId="1AE218E2">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、开采方式与开拓方案：采用</w:t>
      </w:r>
      <w:r>
        <w:rPr>
          <w:rFonts w:hint="eastAsia" w:ascii="仿宋_GB2312" w:hAnsi="仿宋_GB2312" w:eastAsia="仿宋_GB2312" w:cs="仿宋_GB2312"/>
          <w:sz w:val="32"/>
          <w:szCs w:val="32"/>
          <w:lang w:eastAsia="zh-CN"/>
        </w:rPr>
        <w:t>露天凹陷开采方式</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公路开拓汽车运输方案</w:t>
      </w:r>
      <w:r>
        <w:rPr>
          <w:rFonts w:hint="eastAsia" w:ascii="仿宋_GB2312" w:hAnsi="仿宋_GB2312" w:eastAsia="仿宋_GB2312" w:cs="仿宋_GB2312"/>
          <w:sz w:val="32"/>
          <w:szCs w:val="32"/>
        </w:rPr>
        <w:t>。</w:t>
      </w:r>
    </w:p>
    <w:p w14:paraId="341F764B">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、采矿</w:t>
      </w:r>
      <w:r>
        <w:rPr>
          <w:rFonts w:hint="eastAsia" w:ascii="仿宋_GB2312" w:hAnsi="仿宋_GB2312" w:eastAsia="仿宋_GB2312" w:cs="仿宋_GB2312"/>
          <w:sz w:val="32"/>
          <w:szCs w:val="32"/>
          <w:lang w:val="en-US" w:eastAsia="zh-CN"/>
        </w:rPr>
        <w:t>方法：自上而下分水平台阶开采的采矿方法</w:t>
      </w:r>
      <w:r>
        <w:rPr>
          <w:rFonts w:hint="eastAsia" w:ascii="仿宋_GB2312" w:hAnsi="仿宋_GB2312" w:eastAsia="仿宋_GB2312" w:cs="仿宋_GB2312"/>
          <w:sz w:val="32"/>
          <w:szCs w:val="32"/>
        </w:rPr>
        <w:t>。</w:t>
      </w:r>
    </w:p>
    <w:p w14:paraId="5CDBECFF">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设计损失率3.36%</w:t>
      </w:r>
      <w:r>
        <w:rPr>
          <w:rFonts w:hint="eastAsia" w:ascii="仿宋_GB2312" w:hAnsi="仿宋_GB2312" w:eastAsia="仿宋_GB2312" w:cs="仿宋_GB2312"/>
          <w:sz w:val="32"/>
          <w:szCs w:val="32"/>
        </w:rPr>
        <w:t>。设计</w:t>
      </w:r>
      <w:r>
        <w:rPr>
          <w:rFonts w:hint="eastAsia" w:ascii="仿宋_GB2312" w:hAnsi="仿宋_GB2312" w:eastAsia="仿宋_GB2312" w:cs="仿宋_GB2312"/>
          <w:sz w:val="32"/>
          <w:szCs w:val="32"/>
          <w:lang w:val="en-US" w:eastAsia="zh-CN"/>
        </w:rPr>
        <w:t>采矿</w:t>
      </w:r>
      <w:r>
        <w:rPr>
          <w:rFonts w:hint="eastAsia" w:ascii="仿宋_GB2312" w:hAnsi="仿宋_GB2312" w:eastAsia="仿宋_GB2312" w:cs="仿宋_GB2312"/>
          <w:sz w:val="32"/>
          <w:szCs w:val="32"/>
        </w:rPr>
        <w:t>回采率9</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%，采矿损失率</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p>
    <w:p w14:paraId="18CF22C7">
      <w:pPr>
        <w:pStyle w:val="16"/>
        <w:keepNext w:val="0"/>
        <w:keepLines w:val="0"/>
        <w:pageBreakBefore w:val="0"/>
        <w:widowControl/>
        <w:kinsoku w:val="0"/>
        <w:wordWrap/>
        <w:overflowPunct/>
        <w:topLinePunct w:val="0"/>
        <w:autoSpaceDE w:val="0"/>
        <w:autoSpaceDN w:val="0"/>
        <w:bidi w:val="0"/>
        <w:adjustRightInd w:val="0"/>
        <w:snapToGrid w:val="0"/>
        <w:spacing w:after="0" w:line="560" w:lineRule="exact"/>
        <w:ind w:left="0" w:leftChars="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、矿山在实际采选开发生产建设活动中，要以正式设计单位编制并审核通过的采选等设计为准执行。</w:t>
      </w:r>
    </w:p>
    <w:p w14:paraId="3D4409F7">
      <w:pPr>
        <w:pStyle w:val="16"/>
        <w:keepNext w:val="0"/>
        <w:keepLines w:val="0"/>
        <w:pageBreakBefore w:val="0"/>
        <w:widowControl/>
        <w:kinsoku w:val="0"/>
        <w:wordWrap/>
        <w:overflowPunct/>
        <w:topLinePunct w:val="0"/>
        <w:autoSpaceDE w:val="0"/>
        <w:autoSpaceDN w:val="0"/>
        <w:bidi w:val="0"/>
        <w:adjustRightInd w:val="0"/>
        <w:snapToGrid w:val="0"/>
        <w:spacing w:after="0" w:line="560" w:lineRule="exact"/>
        <w:ind w:left="0" w:leftChars="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附件：《</w:t>
      </w:r>
      <w:r>
        <w:rPr>
          <w:rFonts w:hint="eastAsia" w:ascii="仿宋_GB2312" w:hAnsi="仿宋_GB2312" w:eastAsia="仿宋_GB2312" w:cs="仿宋_GB2312"/>
          <w:sz w:val="32"/>
          <w:szCs w:val="32"/>
          <w:lang w:eastAsia="zh-CN"/>
        </w:rPr>
        <w:t>新疆弘晟诚达建材有限公司吐鲁番市高昌区葡萄沟北2号砂石料矿矿产资源开发利用与生态保护修复方案</w:t>
      </w:r>
      <w:r>
        <w:rPr>
          <w:rFonts w:hint="eastAsia" w:ascii="仿宋_GB2312" w:hAnsi="仿宋_GB2312" w:eastAsia="仿宋_GB2312" w:cs="仿宋_GB2312"/>
          <w:sz w:val="32"/>
          <w:szCs w:val="32"/>
        </w:rPr>
        <w:t>》专家审查意见</w:t>
      </w:r>
    </w:p>
    <w:p w14:paraId="022CC976">
      <w:pPr>
        <w:pStyle w:val="16"/>
        <w:keepNext w:val="0"/>
        <w:keepLines w:val="0"/>
        <w:pageBreakBefore w:val="0"/>
        <w:widowControl/>
        <w:kinsoku w:val="0"/>
        <w:wordWrap/>
        <w:overflowPunct/>
        <w:topLinePunct w:val="0"/>
        <w:autoSpaceDE w:val="0"/>
        <w:autoSpaceDN w:val="0"/>
        <w:bidi w:val="0"/>
        <w:adjustRightInd w:val="0"/>
        <w:snapToGrid w:val="0"/>
        <w:spacing w:after="0" w:line="560" w:lineRule="exact"/>
        <w:ind w:left="0" w:leftChars="0"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主  送：新疆弘晟诚达建材有限公司</w:t>
      </w:r>
    </w:p>
    <w:p w14:paraId="062CD323">
      <w:pPr>
        <w:pStyle w:val="16"/>
        <w:keepNext w:val="0"/>
        <w:keepLines w:val="0"/>
        <w:pageBreakBefore w:val="0"/>
        <w:widowControl/>
        <w:kinsoku w:val="0"/>
        <w:wordWrap/>
        <w:overflowPunct/>
        <w:topLinePunct w:val="0"/>
        <w:autoSpaceDE w:val="0"/>
        <w:autoSpaceDN w:val="0"/>
        <w:bidi w:val="0"/>
        <w:adjustRightInd w:val="0"/>
        <w:snapToGrid w:val="0"/>
        <w:spacing w:after="0" w:line="560" w:lineRule="exact"/>
        <w:ind w:left="0" w:leftChars="0"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抄  送：</w:t>
      </w:r>
      <w:r>
        <w:rPr>
          <w:rFonts w:hint="eastAsia" w:ascii="仿宋_GB2312" w:hAnsi="仿宋_GB2312" w:eastAsia="仿宋_GB2312" w:cs="仿宋_GB2312"/>
          <w:sz w:val="32"/>
          <w:szCs w:val="32"/>
          <w:lang w:val="en-US" w:eastAsia="zh-CN"/>
        </w:rPr>
        <w:t>吐鲁番市</w:t>
      </w:r>
      <w:r>
        <w:rPr>
          <w:rFonts w:hint="eastAsia" w:ascii="仿宋_GB2312" w:hAnsi="仿宋_GB2312" w:eastAsia="仿宋_GB2312" w:cs="仿宋_GB2312"/>
          <w:sz w:val="32"/>
          <w:szCs w:val="32"/>
          <w:lang w:eastAsia="zh-CN"/>
        </w:rPr>
        <w:t>自然资源局</w:t>
      </w:r>
    </w:p>
    <w:p w14:paraId="1F273EB1">
      <w:pPr>
        <w:pStyle w:val="16"/>
        <w:keepNext w:val="0"/>
        <w:keepLines w:val="0"/>
        <w:pageBreakBefore w:val="0"/>
        <w:widowControl/>
        <w:kinsoku w:val="0"/>
        <w:wordWrap/>
        <w:overflowPunct/>
        <w:topLinePunct w:val="0"/>
        <w:autoSpaceDE w:val="0"/>
        <w:autoSpaceDN w:val="0"/>
        <w:bidi w:val="0"/>
        <w:adjustRightInd w:val="0"/>
        <w:snapToGrid w:val="0"/>
        <w:spacing w:after="0" w:line="560" w:lineRule="exact"/>
        <w:ind w:left="0" w:leftChars="0"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印  数：12份</w:t>
      </w:r>
    </w:p>
    <w:p w14:paraId="45B47974">
      <w:pPr>
        <w:pStyle w:val="16"/>
        <w:keepNext w:val="0"/>
        <w:keepLines w:val="0"/>
        <w:pageBreakBefore w:val="0"/>
        <w:widowControl/>
        <w:kinsoku w:val="0"/>
        <w:wordWrap/>
        <w:overflowPunct/>
        <w:topLinePunct w:val="0"/>
        <w:autoSpaceDE w:val="0"/>
        <w:autoSpaceDN w:val="0"/>
        <w:bidi w:val="0"/>
        <w:adjustRightInd w:val="0"/>
        <w:snapToGrid w:val="0"/>
        <w:spacing w:line="480" w:lineRule="exact"/>
        <w:ind w:left="0" w:leftChars="0" w:firstLine="0" w:firstLineChars="0"/>
        <w:textAlignment w:val="baseline"/>
        <w:rPr>
          <w:rFonts w:hint="eastAsia" w:ascii="仿宋_GB2312" w:hAnsi="仿宋_GB2312" w:eastAsia="仿宋_GB2312" w:cs="仿宋_GB2312"/>
          <w:sz w:val="28"/>
          <w:szCs w:val="28"/>
          <w:lang w:eastAsia="zh-CN"/>
        </w:rPr>
        <w:sectPr>
          <w:pgSz w:w="12240" w:h="15840"/>
          <w:pgMar w:top="1440" w:right="1800" w:bottom="1440" w:left="1800" w:header="720" w:footer="720" w:gutter="0"/>
          <w:cols w:space="720" w:num="1"/>
        </w:sectPr>
      </w:pPr>
    </w:p>
    <w:p w14:paraId="53244F6C">
      <w:pPr>
        <w:keepNext w:val="0"/>
        <w:keepLines w:val="0"/>
        <w:pageBreakBefore w:val="0"/>
        <w:widowControl w:val="0"/>
        <w:kinsoku w:val="0"/>
        <w:wordWrap/>
        <w:overflowPunct/>
        <w:topLinePunct w:val="0"/>
        <w:autoSpaceDE w:val="0"/>
        <w:autoSpaceDN w:val="0"/>
        <w:bidi w:val="0"/>
        <w:adjustRightInd w:val="0"/>
        <w:snapToGrid w:val="0"/>
        <w:ind w:firstLine="0" w:firstLineChars="0"/>
        <w:jc w:val="center"/>
        <w:textAlignment w:val="baseline"/>
        <w:rPr>
          <w:rFonts w:hint="eastAsia" w:ascii="方正粗黑宋简体" w:hAnsi="方正粗黑宋简体" w:eastAsia="方正粗黑宋简体" w:cs="方正粗黑宋简体"/>
          <w:b w:val="0"/>
          <w:bCs/>
          <w:sz w:val="32"/>
          <w:szCs w:val="32"/>
          <w:lang w:eastAsia="zh-CN"/>
        </w:rPr>
      </w:pPr>
      <w:r>
        <w:rPr>
          <w:rFonts w:hint="eastAsia" w:ascii="方正粗黑宋简体" w:hAnsi="方正粗黑宋简体" w:eastAsia="方正粗黑宋简体" w:cs="方正粗黑宋简体"/>
          <w:b w:val="0"/>
          <w:bCs/>
          <w:sz w:val="32"/>
          <w:szCs w:val="32"/>
        </w:rPr>
        <w:t>《</w:t>
      </w:r>
      <w:r>
        <w:rPr>
          <w:rFonts w:hint="eastAsia" w:ascii="方正粗黑宋简体" w:hAnsi="方正粗黑宋简体" w:eastAsia="方正粗黑宋简体" w:cs="方正粗黑宋简体"/>
          <w:b w:val="0"/>
          <w:bCs/>
          <w:sz w:val="32"/>
          <w:szCs w:val="32"/>
          <w:lang w:eastAsia="zh-CN"/>
        </w:rPr>
        <w:t>新疆弘晟诚达建材有限公司吐鲁番市高昌区葡萄沟北2号</w:t>
      </w:r>
    </w:p>
    <w:p w14:paraId="30217CBA">
      <w:pPr>
        <w:keepNext w:val="0"/>
        <w:keepLines w:val="0"/>
        <w:pageBreakBefore w:val="0"/>
        <w:widowControl w:val="0"/>
        <w:kinsoku w:val="0"/>
        <w:wordWrap/>
        <w:overflowPunct/>
        <w:topLinePunct w:val="0"/>
        <w:autoSpaceDE w:val="0"/>
        <w:autoSpaceDN w:val="0"/>
        <w:bidi w:val="0"/>
        <w:adjustRightInd w:val="0"/>
        <w:snapToGrid w:val="0"/>
        <w:ind w:firstLine="0" w:firstLineChars="0"/>
        <w:jc w:val="center"/>
        <w:textAlignment w:val="baseline"/>
        <w:rPr>
          <w:rFonts w:hint="eastAsia" w:ascii="方正粗黑宋简体" w:hAnsi="方正粗黑宋简体" w:eastAsia="方正粗黑宋简体" w:cs="方正粗黑宋简体"/>
          <w:b w:val="0"/>
          <w:bCs/>
          <w:sz w:val="32"/>
          <w:szCs w:val="32"/>
        </w:rPr>
      </w:pPr>
      <w:r>
        <w:rPr>
          <w:rFonts w:hint="eastAsia" w:ascii="方正粗黑宋简体" w:hAnsi="方正粗黑宋简体" w:eastAsia="方正粗黑宋简体" w:cs="方正粗黑宋简体"/>
          <w:b w:val="0"/>
          <w:bCs/>
          <w:sz w:val="32"/>
          <w:szCs w:val="32"/>
          <w:lang w:eastAsia="zh-CN"/>
        </w:rPr>
        <w:t>砂石料矿矿产资源开发利用与生态保护修复方案</w:t>
      </w:r>
      <w:r>
        <w:rPr>
          <w:rFonts w:hint="eastAsia" w:ascii="方正粗黑宋简体" w:hAnsi="方正粗黑宋简体" w:eastAsia="方正粗黑宋简体" w:cs="方正粗黑宋简体"/>
          <w:b w:val="0"/>
          <w:bCs/>
          <w:sz w:val="32"/>
          <w:szCs w:val="32"/>
        </w:rPr>
        <w:t>》</w:t>
      </w:r>
    </w:p>
    <w:p w14:paraId="2F5FB359">
      <w:pPr>
        <w:keepNext w:val="0"/>
        <w:keepLines w:val="0"/>
        <w:pageBreakBefore w:val="0"/>
        <w:widowControl w:val="0"/>
        <w:kinsoku w:val="0"/>
        <w:wordWrap/>
        <w:overflowPunct/>
        <w:topLinePunct w:val="0"/>
        <w:autoSpaceDE w:val="0"/>
        <w:autoSpaceDN w:val="0"/>
        <w:bidi w:val="0"/>
        <w:adjustRightInd w:val="0"/>
        <w:snapToGrid w:val="0"/>
        <w:ind w:firstLine="0" w:firstLineChars="0"/>
        <w:jc w:val="center"/>
        <w:textAlignment w:val="baseline"/>
        <w:rPr>
          <w:rFonts w:hint="eastAsia" w:ascii="方正粗黑宋简体" w:hAnsi="方正粗黑宋简体" w:eastAsia="方正粗黑宋简体" w:cs="方正粗黑宋简体"/>
          <w:b w:val="0"/>
          <w:bCs/>
          <w:color w:val="auto"/>
          <w:spacing w:val="1"/>
          <w:sz w:val="32"/>
          <w:szCs w:val="32"/>
        </w:rPr>
      </w:pPr>
      <w:r>
        <w:rPr>
          <w:rFonts w:hint="eastAsia" w:ascii="方正粗黑宋简体" w:hAnsi="方正粗黑宋简体" w:eastAsia="方正粗黑宋简体" w:cs="方正粗黑宋简体"/>
          <w:b w:val="0"/>
          <w:bCs/>
          <w:sz w:val="32"/>
          <w:szCs w:val="32"/>
        </w:rPr>
        <w:t>专家审查意见</w:t>
      </w:r>
    </w:p>
    <w:p w14:paraId="20D6ED46">
      <w:pPr>
        <w:keepNext w:val="0"/>
        <w:keepLines w:val="0"/>
        <w:pageBreakBefore w:val="0"/>
        <w:widowControl w:val="0"/>
        <w:kinsoku w:val="0"/>
        <w:wordWrap/>
        <w:overflowPunct/>
        <w:topLinePunct w:val="0"/>
        <w:autoSpaceDE w:val="0"/>
        <w:autoSpaceDN w:val="0"/>
        <w:bidi w:val="0"/>
        <w:adjustRightInd w:val="0"/>
        <w:snapToGrid w:val="0"/>
        <w:spacing w:line="240" w:lineRule="auto"/>
        <w:ind w:firstLine="560"/>
        <w:textAlignment w:val="baseline"/>
        <w:rPr>
          <w:rFonts w:hint="eastAsia" w:ascii="宋体" w:hAnsi="宋体" w:eastAsia="宋体" w:cs="宋体"/>
          <w:color w:val="auto"/>
          <w:sz w:val="18"/>
          <w:szCs w:val="18"/>
        </w:rPr>
      </w:pPr>
      <w:bookmarkStart w:id="2" w:name="_Hlk100067958"/>
    </w:p>
    <w:p w14:paraId="2198B74A">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新疆弘晟诚达建材有限公司吐鲁番市高昌区葡萄沟北2号砂石料矿矿产资源开发利用与生态保护修复方案</w:t>
      </w:r>
      <w:r>
        <w:rPr>
          <w:rFonts w:hint="eastAsia" w:ascii="仿宋_GB2312" w:hAnsi="仿宋_GB2312" w:eastAsia="仿宋_GB2312" w:cs="仿宋_GB2312"/>
          <w:color w:val="auto"/>
          <w:sz w:val="28"/>
          <w:szCs w:val="28"/>
        </w:rPr>
        <w:t>》</w:t>
      </w:r>
      <w:bookmarkEnd w:id="2"/>
      <w:r>
        <w:rPr>
          <w:rFonts w:hint="eastAsia" w:ascii="仿宋_GB2312" w:hAnsi="仿宋_GB2312" w:eastAsia="仿宋_GB2312" w:cs="仿宋_GB2312"/>
          <w:color w:val="auto"/>
          <w:sz w:val="28"/>
          <w:szCs w:val="28"/>
        </w:rPr>
        <w:t>（以下简称</w:t>
      </w:r>
      <w:bookmarkStart w:id="3" w:name="_Hlk91835451"/>
      <w:r>
        <w:rPr>
          <w:rFonts w:hint="eastAsia" w:ascii="仿宋_GB2312" w:hAnsi="仿宋_GB2312" w:eastAsia="仿宋_GB2312" w:cs="仿宋_GB2312"/>
          <w:color w:val="auto"/>
          <w:sz w:val="28"/>
          <w:szCs w:val="28"/>
        </w:rPr>
        <w:t>《方案》</w:t>
      </w:r>
      <w:bookmarkEnd w:id="3"/>
      <w:r>
        <w:rPr>
          <w:rFonts w:hint="eastAsia" w:ascii="仿宋_GB2312" w:hAnsi="仿宋_GB2312" w:eastAsia="仿宋_GB2312" w:cs="仿宋_GB2312"/>
          <w:color w:val="auto"/>
          <w:sz w:val="28"/>
          <w:szCs w:val="28"/>
        </w:rPr>
        <w:t>）由</w:t>
      </w:r>
      <w:r>
        <w:rPr>
          <w:rFonts w:hint="eastAsia" w:ascii="仿宋_GB2312" w:hAnsi="仿宋_GB2312" w:eastAsia="仿宋_GB2312" w:cs="仿宋_GB2312"/>
          <w:color w:val="auto"/>
          <w:sz w:val="28"/>
          <w:szCs w:val="28"/>
          <w:lang w:eastAsia="zh-CN"/>
        </w:rPr>
        <w:t>新疆瑞新源矿业技术有限公司</w:t>
      </w:r>
      <w:r>
        <w:rPr>
          <w:rFonts w:hint="eastAsia" w:ascii="仿宋_GB2312" w:hAnsi="仿宋_GB2312" w:eastAsia="仿宋_GB2312" w:cs="仿宋_GB2312"/>
          <w:color w:val="auto"/>
          <w:sz w:val="28"/>
          <w:szCs w:val="28"/>
        </w:rPr>
        <w:t>编</w:t>
      </w:r>
      <w:r>
        <w:rPr>
          <w:rFonts w:hint="eastAsia" w:ascii="仿宋_GB2312" w:hAnsi="仿宋_GB2312" w:eastAsia="仿宋_GB2312" w:cs="仿宋_GB2312"/>
          <w:color w:val="auto"/>
          <w:sz w:val="28"/>
          <w:szCs w:val="28"/>
          <w:lang w:eastAsia="zh-CN"/>
        </w:rPr>
        <w:t>制完成。202</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eastAsia="zh-CN"/>
        </w:rPr>
        <w:t>年</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eastAsia="zh-CN"/>
        </w:rPr>
        <w:t>月</w:t>
      </w:r>
      <w:r>
        <w:rPr>
          <w:rFonts w:hint="eastAsia" w:ascii="仿宋_GB2312" w:hAnsi="仿宋_GB2312" w:eastAsia="仿宋_GB2312" w:cs="仿宋_GB2312"/>
          <w:color w:val="auto"/>
          <w:sz w:val="28"/>
          <w:szCs w:val="28"/>
          <w:lang w:val="en-US" w:eastAsia="zh-CN"/>
        </w:rPr>
        <w:t>20</w:t>
      </w:r>
      <w:r>
        <w:rPr>
          <w:rFonts w:hint="eastAsia" w:ascii="仿宋_GB2312" w:hAnsi="仿宋_GB2312" w:eastAsia="仿宋_GB2312" w:cs="仿宋_GB2312"/>
          <w:color w:val="auto"/>
          <w:sz w:val="28"/>
          <w:szCs w:val="28"/>
          <w:lang w:eastAsia="zh-CN"/>
        </w:rPr>
        <w:t>日，</w:t>
      </w:r>
      <w:r>
        <w:rPr>
          <w:rFonts w:hint="eastAsia" w:ascii="仿宋_GB2312" w:hAnsi="仿宋_GB2312" w:eastAsia="仿宋_GB2312" w:cs="仿宋_GB2312"/>
          <w:color w:val="auto"/>
          <w:sz w:val="28"/>
          <w:szCs w:val="28"/>
          <w:lang w:val="en-US" w:eastAsia="zh-CN"/>
        </w:rPr>
        <w:t>吐鲁番市自然资源局高昌区分局</w:t>
      </w:r>
      <w:r>
        <w:rPr>
          <w:rFonts w:hint="eastAsia" w:ascii="仿宋_GB2312" w:hAnsi="仿宋_GB2312" w:eastAsia="仿宋_GB2312" w:cs="仿宋_GB2312"/>
          <w:color w:val="auto"/>
          <w:sz w:val="28"/>
          <w:szCs w:val="28"/>
          <w:lang w:eastAsia="zh-CN"/>
        </w:rPr>
        <w:t>聘请了地质、采矿、经济、地环、土地复垦等专业的专家组成专家组（名单附后）在</w:t>
      </w:r>
      <w:r>
        <w:rPr>
          <w:rFonts w:hint="eastAsia" w:ascii="仿宋_GB2312" w:hAnsi="仿宋_GB2312" w:eastAsia="仿宋_GB2312" w:cs="仿宋_GB2312"/>
          <w:color w:val="auto"/>
          <w:sz w:val="28"/>
          <w:szCs w:val="28"/>
          <w:lang w:val="en-US" w:eastAsia="zh-CN"/>
        </w:rPr>
        <w:t>腾讯会议（917399046）</w:t>
      </w:r>
      <w:r>
        <w:rPr>
          <w:rFonts w:hint="eastAsia" w:ascii="仿宋_GB2312" w:hAnsi="仿宋_GB2312" w:eastAsia="仿宋_GB2312" w:cs="仿宋_GB2312"/>
          <w:color w:val="auto"/>
          <w:sz w:val="28"/>
          <w:szCs w:val="28"/>
          <w:lang w:eastAsia="zh-CN"/>
        </w:rPr>
        <w:t>对该《方案》进行了</w:t>
      </w:r>
      <w:r>
        <w:rPr>
          <w:rFonts w:hint="eastAsia" w:ascii="仿宋_GB2312" w:hAnsi="仿宋_GB2312" w:eastAsia="仿宋_GB2312" w:cs="仿宋_GB2312"/>
          <w:color w:val="auto"/>
          <w:sz w:val="28"/>
          <w:szCs w:val="28"/>
          <w:lang w:val="en-US" w:eastAsia="zh-CN"/>
        </w:rPr>
        <w:t>线上</w:t>
      </w:r>
      <w:r>
        <w:rPr>
          <w:rFonts w:hint="eastAsia" w:ascii="仿宋_GB2312" w:hAnsi="仿宋_GB2312" w:eastAsia="仿宋_GB2312" w:cs="仿宋_GB2312"/>
          <w:color w:val="auto"/>
          <w:sz w:val="28"/>
          <w:szCs w:val="28"/>
          <w:lang w:eastAsia="zh-CN"/>
        </w:rPr>
        <w:t>会审。该《方案》经专家组充分讨论和评议，提出了修改意见。会后，编制单位对《方案》进行修改完善，经专家组复</w:t>
      </w:r>
      <w:r>
        <w:rPr>
          <w:rFonts w:hint="eastAsia" w:ascii="仿宋_GB2312" w:hAnsi="仿宋_GB2312" w:eastAsia="仿宋_GB2312" w:cs="仿宋_GB2312"/>
          <w:spacing w:val="1"/>
          <w:sz w:val="28"/>
          <w:szCs w:val="28"/>
        </w:rPr>
        <w:t>核，《方案》符合规范要求，现形成评审意见如下：</w:t>
      </w:r>
    </w:p>
    <w:p w14:paraId="45F550E3">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36" w:firstLineChars="200"/>
        <w:jc w:val="left"/>
        <w:textAlignment w:val="baseline"/>
        <w:outlineLvl w:val="0"/>
        <w:rPr>
          <w:rFonts w:hint="eastAsia" w:ascii="黑体" w:hAnsi="黑体" w:eastAsia="黑体" w:cs="黑体"/>
          <w:b w:val="0"/>
          <w:bCs w:val="0"/>
          <w:color w:val="auto"/>
          <w:spacing w:val="-3"/>
          <w:sz w:val="28"/>
          <w:szCs w:val="28"/>
        </w:rPr>
      </w:pPr>
      <w:r>
        <w:rPr>
          <w:rFonts w:hint="eastAsia" w:ascii="黑体" w:hAnsi="黑体" w:eastAsia="黑体" w:cs="黑体"/>
          <w:b w:val="0"/>
          <w:bCs w:val="0"/>
          <w:color w:val="auto"/>
          <w:spacing w:val="-6"/>
          <w:sz w:val="28"/>
          <w:szCs w:val="28"/>
        </w:rPr>
        <w:t>一、采矿权基本情况及编制目的</w:t>
      </w:r>
    </w:p>
    <w:p w14:paraId="221A2526">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新疆弘晟诚达建材有限公司吐鲁番市高昌区葡萄沟北2号砂石料矿</w:t>
      </w:r>
      <w:r>
        <w:rPr>
          <w:rFonts w:hint="eastAsia" w:ascii="仿宋_GB2312" w:hAnsi="仿宋_GB2312" w:eastAsia="仿宋_GB2312" w:cs="仿宋_GB2312"/>
          <w:color w:val="auto"/>
          <w:sz w:val="28"/>
          <w:szCs w:val="28"/>
        </w:rPr>
        <w:t>隶属于</w:t>
      </w:r>
      <w:r>
        <w:rPr>
          <w:rFonts w:hint="eastAsia" w:ascii="仿宋_GB2312" w:hAnsi="仿宋_GB2312" w:eastAsia="仿宋_GB2312" w:cs="仿宋_GB2312"/>
          <w:color w:val="auto"/>
          <w:sz w:val="28"/>
          <w:szCs w:val="28"/>
          <w:lang w:eastAsia="zh-CN"/>
        </w:rPr>
        <w:t>新疆弘晟诚达建材有限公司</w:t>
      </w:r>
      <w:r>
        <w:rPr>
          <w:rFonts w:hint="eastAsia" w:ascii="仿宋_GB2312" w:hAnsi="仿宋_GB2312" w:eastAsia="仿宋_GB2312" w:cs="仿宋_GB2312"/>
          <w:color w:val="auto"/>
          <w:sz w:val="28"/>
          <w:szCs w:val="28"/>
        </w:rPr>
        <w:t>，本矿山属于新建矿山，为</w:t>
      </w:r>
      <w:r>
        <w:rPr>
          <w:rFonts w:hint="eastAsia" w:ascii="仿宋_GB2312" w:hAnsi="仿宋_GB2312" w:eastAsia="仿宋_GB2312" w:cs="仿宋_GB2312"/>
          <w:color w:val="auto"/>
          <w:sz w:val="28"/>
          <w:szCs w:val="28"/>
          <w:lang w:eastAsia="zh-CN"/>
        </w:rPr>
        <w:t>新疆弘晟诚达建材有限公司</w:t>
      </w:r>
      <w:r>
        <w:rPr>
          <w:rFonts w:hint="eastAsia" w:ascii="仿宋_GB2312" w:hAnsi="仿宋_GB2312" w:eastAsia="仿宋_GB2312" w:cs="仿宋_GB2312"/>
          <w:color w:val="auto"/>
          <w:sz w:val="28"/>
          <w:szCs w:val="28"/>
        </w:rPr>
        <w:t>通过招拍挂取得的采矿权，矿区由</w:t>
      </w:r>
      <w:r>
        <w:rPr>
          <w:rFonts w:hint="eastAsia" w:ascii="仿宋_GB2312" w:hAnsi="仿宋_GB2312" w:eastAsia="仿宋_GB2312" w:cs="仿宋_GB2312"/>
          <w:color w:val="auto"/>
          <w:sz w:val="28"/>
          <w:szCs w:val="28"/>
          <w:lang w:val="en-US" w:eastAsia="zh-CN"/>
        </w:rPr>
        <w:t>四</w:t>
      </w:r>
      <w:r>
        <w:rPr>
          <w:rFonts w:hint="eastAsia" w:ascii="仿宋_GB2312" w:hAnsi="仿宋_GB2312" w:eastAsia="仿宋_GB2312" w:cs="仿宋_GB2312"/>
          <w:color w:val="auto"/>
          <w:sz w:val="28"/>
          <w:szCs w:val="28"/>
        </w:rPr>
        <w:t>个坐标拐点组成，面积</w:t>
      </w:r>
      <w:r>
        <w:rPr>
          <w:rFonts w:hint="eastAsia" w:ascii="仿宋_GB2312" w:hAnsi="仿宋_GB2312" w:eastAsia="仿宋_GB2312" w:cs="仿宋_GB2312"/>
          <w:color w:val="auto"/>
          <w:sz w:val="28"/>
          <w:szCs w:val="28"/>
          <w:lang w:val="en-US" w:eastAsia="zh-CN"/>
        </w:rPr>
        <w:t>0.08km2</w:t>
      </w:r>
      <w:r>
        <w:rPr>
          <w:rFonts w:hint="eastAsia" w:ascii="仿宋_GB2312" w:hAnsi="仿宋_GB2312" w:eastAsia="仿宋_GB2312" w:cs="仿宋_GB2312"/>
          <w:color w:val="auto"/>
          <w:sz w:val="28"/>
          <w:szCs w:val="28"/>
        </w:rPr>
        <w:t>。开采矿种为</w:t>
      </w:r>
      <w:r>
        <w:rPr>
          <w:rFonts w:hint="eastAsia" w:ascii="仿宋_GB2312" w:hAnsi="仿宋_GB2312" w:eastAsia="仿宋_GB2312" w:cs="仿宋_GB2312"/>
          <w:color w:val="auto"/>
          <w:sz w:val="28"/>
          <w:szCs w:val="28"/>
          <w:lang w:val="en-US" w:eastAsia="zh-CN"/>
        </w:rPr>
        <w:t>建筑用砂矿</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露天凹陷开采方式</w:t>
      </w:r>
      <w:r>
        <w:rPr>
          <w:rFonts w:hint="eastAsia" w:ascii="仿宋_GB2312" w:hAnsi="仿宋_GB2312" w:eastAsia="仿宋_GB2312" w:cs="仿宋_GB2312"/>
          <w:color w:val="auto"/>
          <w:sz w:val="28"/>
          <w:szCs w:val="28"/>
        </w:rPr>
        <w:t>，开采标高为</w:t>
      </w:r>
      <w:r>
        <w:rPr>
          <w:rFonts w:hint="eastAsia" w:ascii="仿宋_GB2312" w:hAnsi="仿宋_GB2312" w:eastAsia="仿宋_GB2312" w:cs="仿宋_GB2312"/>
          <w:color w:val="auto"/>
          <w:sz w:val="28"/>
          <w:szCs w:val="28"/>
          <w:lang w:val="en-US" w:eastAsia="zh-CN"/>
        </w:rPr>
        <w:t>441～427m</w:t>
      </w:r>
      <w:r>
        <w:rPr>
          <w:rFonts w:hint="eastAsia" w:ascii="仿宋_GB2312" w:hAnsi="仿宋_GB2312" w:eastAsia="仿宋_GB2312" w:cs="仿宋_GB2312"/>
          <w:color w:val="auto"/>
          <w:sz w:val="28"/>
          <w:szCs w:val="28"/>
        </w:rPr>
        <w:t>，生产规模为</w:t>
      </w:r>
      <w:r>
        <w:rPr>
          <w:rFonts w:hint="eastAsia" w:ascii="仿宋_GB2312" w:hAnsi="仿宋_GB2312" w:eastAsia="仿宋_GB2312" w:cs="仿宋_GB2312"/>
          <w:color w:val="auto"/>
          <w:sz w:val="28"/>
          <w:szCs w:val="28"/>
          <w:lang w:val="en-US" w:eastAsia="zh-CN"/>
        </w:rPr>
        <w:t>6万m3</w:t>
      </w:r>
      <w:r>
        <w:rPr>
          <w:rFonts w:hint="eastAsia" w:ascii="仿宋_GB2312" w:hAnsi="仿宋_GB2312" w:eastAsia="仿宋_GB2312" w:cs="仿宋_GB2312"/>
          <w:color w:val="auto"/>
          <w:sz w:val="28"/>
          <w:szCs w:val="28"/>
        </w:rPr>
        <w:t>/年。</w:t>
      </w:r>
    </w:p>
    <w:p w14:paraId="1B989D33">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本次设计编制</w:t>
      </w:r>
      <w:bookmarkStart w:id="4" w:name="_Hlk91836438"/>
      <w:r>
        <w:rPr>
          <w:rFonts w:hint="eastAsia" w:ascii="仿宋_GB2312" w:hAnsi="仿宋_GB2312" w:eastAsia="仿宋_GB2312" w:cs="仿宋_GB2312"/>
          <w:color w:val="auto"/>
          <w:sz w:val="28"/>
          <w:szCs w:val="28"/>
          <w:lang w:eastAsia="zh-CN"/>
        </w:rPr>
        <w:t>《方案》的</w:t>
      </w:r>
      <w:bookmarkEnd w:id="4"/>
      <w:r>
        <w:rPr>
          <w:rFonts w:hint="eastAsia" w:ascii="仿宋_GB2312" w:hAnsi="仿宋_GB2312" w:eastAsia="仿宋_GB2312" w:cs="仿宋_GB2312"/>
          <w:color w:val="auto"/>
          <w:sz w:val="28"/>
          <w:szCs w:val="28"/>
          <w:lang w:eastAsia="zh-CN"/>
        </w:rPr>
        <w:t>目的：</w:t>
      </w:r>
      <w:r>
        <w:rPr>
          <w:rFonts w:hint="eastAsia" w:ascii="仿宋_GB2312" w:hAnsi="仿宋_GB2312" w:eastAsia="仿宋_GB2312" w:cs="仿宋_GB2312"/>
          <w:color w:val="auto"/>
          <w:sz w:val="28"/>
          <w:szCs w:val="28"/>
          <w:lang w:val="en-US" w:eastAsia="zh-CN"/>
        </w:rPr>
        <w:t>办理采矿许可证</w:t>
      </w:r>
      <w:r>
        <w:rPr>
          <w:rFonts w:hint="eastAsia" w:ascii="仿宋_GB2312" w:hAnsi="仿宋_GB2312" w:eastAsia="仿宋_GB2312" w:cs="仿宋_GB2312"/>
          <w:color w:val="auto"/>
          <w:sz w:val="28"/>
          <w:szCs w:val="28"/>
          <w:lang w:eastAsia="zh-CN"/>
        </w:rPr>
        <w:t>；为本矿山的采矿权出让收益评估、矿产资源开发利用、环境评价提供依据；为自然资源部门对矿山开采依法进行监管提供技术依据；在确保技术可行的前提下，尽量做到持续稳产；方案采用成熟先进的工艺和设备，以提高劳动生产率，降低成本；为矿山企业实施矿山地质环境保护、治理和监测及土地复垦提供技术依据，将矿山企业的生态保护修复工作目标、任务、措施和计划等落到实处；为矿山生态保护修复工作的实施管理、监督检查以及生态保护修复基金的计提等提供依据，为自然资源</w:t>
      </w:r>
      <w:bookmarkStart w:id="14" w:name="_GoBack"/>
      <w:bookmarkEnd w:id="14"/>
      <w:r>
        <w:rPr>
          <w:rFonts w:hint="eastAsia" w:ascii="仿宋_GB2312" w:hAnsi="仿宋_GB2312" w:eastAsia="仿宋_GB2312" w:cs="仿宋_GB2312"/>
          <w:color w:val="auto"/>
          <w:sz w:val="28"/>
          <w:szCs w:val="28"/>
          <w:lang w:eastAsia="zh-CN"/>
        </w:rPr>
        <w:t>部门监督、检查、督促矿山企业落实矿山地质环境保护与土地复垦责任义务提供重要依据；使矿山开采造成的地质环境破坏得以有效恢复，使被损毁的土地恢复并达到最佳综合效益的状态，努力实现社会经济、生态环境的可持续发展。</w:t>
      </w:r>
    </w:p>
    <w:p w14:paraId="7B6261B8">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36" w:firstLineChars="200"/>
        <w:jc w:val="left"/>
        <w:textAlignment w:val="baseline"/>
        <w:outlineLvl w:val="0"/>
        <w:rPr>
          <w:rFonts w:hint="eastAsia" w:ascii="黑体" w:hAnsi="黑体" w:eastAsia="黑体" w:cs="黑体"/>
          <w:b w:val="0"/>
          <w:bCs w:val="0"/>
          <w:color w:val="auto"/>
          <w:spacing w:val="-6"/>
          <w:sz w:val="28"/>
          <w:szCs w:val="28"/>
        </w:rPr>
      </w:pPr>
      <w:r>
        <w:rPr>
          <w:rFonts w:hint="eastAsia" w:ascii="黑体" w:hAnsi="黑体" w:eastAsia="黑体" w:cs="黑体"/>
          <w:b w:val="0"/>
          <w:bCs w:val="0"/>
          <w:color w:val="auto"/>
          <w:spacing w:val="-6"/>
          <w:sz w:val="28"/>
          <w:szCs w:val="28"/>
        </w:rPr>
        <w:t>二、资源储量转换及其评述</w:t>
      </w:r>
    </w:p>
    <w:p w14:paraId="6BFABCD2">
      <w:pPr>
        <w:pStyle w:val="16"/>
        <w:keepNext w:val="0"/>
        <w:keepLines w:val="0"/>
        <w:pageBreakBefore w:val="0"/>
        <w:widowControl w:val="0"/>
        <w:kinsoku w:val="0"/>
        <w:wordWrap/>
        <w:overflowPunct/>
        <w:topLinePunct w:val="0"/>
        <w:autoSpaceDE w:val="0"/>
        <w:autoSpaceDN w:val="0"/>
        <w:bidi w:val="0"/>
        <w:adjustRightInd w:val="0"/>
        <w:snapToGrid w:val="0"/>
        <w:spacing w:after="0" w:line="560" w:lineRule="exact"/>
        <w:ind w:left="0" w:leftChars="0" w:firstLine="562" w:firstLineChars="200"/>
        <w:textAlignment w:val="baseline"/>
        <w:rPr>
          <w:rFonts w:hint="eastAsia" w:ascii="楷体" w:hAnsi="楷体" w:eastAsia="楷体" w:cs="楷体"/>
          <w:b/>
          <w:bCs/>
          <w:color w:val="auto"/>
          <w:sz w:val="28"/>
          <w:szCs w:val="28"/>
        </w:rPr>
      </w:pPr>
      <w:r>
        <w:rPr>
          <w:rFonts w:hint="eastAsia" w:ascii="楷体" w:hAnsi="楷体" w:eastAsia="楷体" w:cs="楷体"/>
          <w:b/>
          <w:bCs/>
          <w:color w:val="auto"/>
          <w:sz w:val="28"/>
          <w:szCs w:val="28"/>
        </w:rPr>
        <w:t>（一）设计利用资源量</w:t>
      </w:r>
    </w:p>
    <w:p w14:paraId="49F00C6B">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根据《吐鲁番市高昌区葡萄沟北2号砂石料矿普查报告》矿产资源储量评审意见书（</w:t>
      </w:r>
      <w:r>
        <w:rPr>
          <w:rFonts w:hint="eastAsia" w:ascii="仿宋_GB2312" w:hAnsi="仿宋_GB2312" w:eastAsia="仿宋_GB2312" w:cs="仿宋_GB2312"/>
          <w:color w:val="auto"/>
          <w:sz w:val="28"/>
          <w:szCs w:val="28"/>
          <w:lang w:val="en-US" w:eastAsia="zh-CN"/>
        </w:rPr>
        <w:t>吐市高区自然资储评〔2025〕1号</w:t>
      </w:r>
      <w:r>
        <w:rPr>
          <w:rFonts w:hint="eastAsia" w:ascii="仿宋_GB2312" w:hAnsi="仿宋_GB2312" w:eastAsia="仿宋_GB2312" w:cs="仿宋_GB2312"/>
          <w:color w:val="auto"/>
          <w:sz w:val="28"/>
          <w:szCs w:val="28"/>
          <w:lang w:eastAsia="zh-CN"/>
        </w:rPr>
        <w:t>），截止时间为202</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eastAsia="zh-CN"/>
        </w:rPr>
        <w:t>年</w:t>
      </w: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lang w:eastAsia="zh-CN"/>
        </w:rPr>
        <w:t>月3</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eastAsia="zh-CN"/>
        </w:rPr>
        <w:t>日，</w:t>
      </w:r>
      <w:r>
        <w:rPr>
          <w:rFonts w:hint="eastAsia" w:ascii="仿宋_GB2312" w:hAnsi="仿宋_GB2312" w:eastAsia="仿宋_GB2312" w:cs="仿宋_GB2312"/>
          <w:color w:val="auto"/>
          <w:sz w:val="28"/>
          <w:szCs w:val="28"/>
          <w:lang w:val="en-US" w:eastAsia="zh-CN"/>
        </w:rPr>
        <w:t>普查区</w:t>
      </w:r>
      <w:r>
        <w:rPr>
          <w:rFonts w:hint="eastAsia" w:ascii="仿宋_GB2312" w:hAnsi="仿宋_GB2312" w:eastAsia="仿宋_GB2312" w:cs="仿宋_GB2312"/>
          <w:color w:val="auto"/>
          <w:sz w:val="28"/>
          <w:szCs w:val="28"/>
          <w:lang w:eastAsia="zh-CN"/>
        </w:rPr>
        <w:t>范围内（标高</w:t>
      </w:r>
      <w:r>
        <w:rPr>
          <w:rFonts w:hint="eastAsia" w:ascii="仿宋_GB2312" w:hAnsi="仿宋_GB2312" w:eastAsia="仿宋_GB2312" w:cs="仿宋_GB2312"/>
          <w:color w:val="auto"/>
          <w:sz w:val="28"/>
          <w:szCs w:val="28"/>
          <w:lang w:val="en-US" w:eastAsia="zh-CN"/>
        </w:rPr>
        <w:t>441</w:t>
      </w:r>
      <w:r>
        <w:rPr>
          <w:rFonts w:hint="eastAsia" w:ascii="仿宋_GB2312" w:hAnsi="仿宋_GB2312" w:eastAsia="仿宋_GB2312" w:cs="仿宋_GB2312"/>
          <w:color w:val="auto"/>
          <w:sz w:val="28"/>
          <w:szCs w:val="28"/>
          <w:lang w:eastAsia="zh-CN"/>
        </w:rPr>
        <w:t>m～</w:t>
      </w:r>
      <w:r>
        <w:rPr>
          <w:rFonts w:hint="eastAsia" w:ascii="仿宋_GB2312" w:hAnsi="仿宋_GB2312" w:eastAsia="仿宋_GB2312" w:cs="仿宋_GB2312"/>
          <w:color w:val="auto"/>
          <w:sz w:val="28"/>
          <w:szCs w:val="28"/>
          <w:lang w:val="en-US" w:eastAsia="zh-CN"/>
        </w:rPr>
        <w:t>427</w:t>
      </w:r>
      <w:r>
        <w:rPr>
          <w:rFonts w:hint="eastAsia" w:ascii="仿宋_GB2312" w:hAnsi="仿宋_GB2312" w:eastAsia="仿宋_GB2312" w:cs="仿宋_GB2312"/>
          <w:color w:val="auto"/>
          <w:sz w:val="28"/>
          <w:szCs w:val="28"/>
          <w:lang w:eastAsia="zh-CN"/>
        </w:rPr>
        <w:t>m）共求得</w:t>
      </w:r>
      <w:r>
        <w:rPr>
          <w:rFonts w:hint="eastAsia" w:ascii="仿宋_GB2312" w:hAnsi="仿宋_GB2312" w:eastAsia="仿宋_GB2312" w:cs="仿宋_GB2312"/>
          <w:color w:val="auto"/>
          <w:sz w:val="28"/>
          <w:szCs w:val="28"/>
          <w:lang w:val="en-US" w:eastAsia="zh-CN"/>
        </w:rPr>
        <w:t>建筑用砂石料矿</w:t>
      </w:r>
      <w:r>
        <w:rPr>
          <w:rFonts w:hint="eastAsia" w:ascii="仿宋_GB2312" w:hAnsi="仿宋_GB2312" w:eastAsia="仿宋_GB2312" w:cs="仿宋_GB2312"/>
          <w:color w:val="auto"/>
          <w:sz w:val="28"/>
          <w:szCs w:val="28"/>
          <w:lang w:eastAsia="zh-CN"/>
        </w:rPr>
        <w:t>推断资源量</w:t>
      </w:r>
      <w:r>
        <w:rPr>
          <w:rFonts w:hint="eastAsia" w:ascii="仿宋_GB2312" w:hAnsi="仿宋_GB2312" w:eastAsia="仿宋_GB2312" w:cs="仿宋_GB2312"/>
          <w:color w:val="auto"/>
          <w:sz w:val="28"/>
          <w:szCs w:val="28"/>
          <w:lang w:val="en-US" w:eastAsia="zh-CN"/>
        </w:rPr>
        <w:t>64.64</w:t>
      </w:r>
      <w:r>
        <w:rPr>
          <w:rFonts w:hint="eastAsia" w:ascii="仿宋_GB2312" w:hAnsi="仿宋_GB2312" w:eastAsia="仿宋_GB2312" w:cs="仿宋_GB2312"/>
          <w:color w:val="auto"/>
          <w:sz w:val="28"/>
          <w:szCs w:val="28"/>
          <w:lang w:eastAsia="zh-CN"/>
        </w:rPr>
        <w:t>万</w:t>
      </w:r>
      <w:r>
        <w:rPr>
          <w:rFonts w:hint="eastAsia" w:ascii="仿宋_GB2312" w:hAnsi="仿宋_GB2312" w:eastAsia="仿宋_GB2312" w:cs="仿宋_GB2312"/>
          <w:color w:val="auto"/>
          <w:sz w:val="28"/>
          <w:szCs w:val="28"/>
          <w:lang w:val="en-US" w:eastAsia="zh-CN"/>
        </w:rPr>
        <w:t>m3</w:t>
      </w:r>
      <w:r>
        <w:rPr>
          <w:rFonts w:hint="eastAsia" w:ascii="仿宋_GB2312" w:hAnsi="仿宋_GB2312" w:eastAsia="仿宋_GB2312" w:cs="仿宋_GB2312"/>
          <w:color w:val="auto"/>
          <w:sz w:val="28"/>
          <w:szCs w:val="28"/>
          <w:lang w:eastAsia="zh-CN"/>
        </w:rPr>
        <w:t>。</w:t>
      </w:r>
    </w:p>
    <w:p w14:paraId="1AC82EAE">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确定本次方案设计利用的资源量为矿区范围内截至202</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eastAsia="zh-CN"/>
        </w:rPr>
        <w:t>年</w:t>
      </w: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lang w:eastAsia="zh-CN"/>
        </w:rPr>
        <w:t>月3</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eastAsia="zh-CN"/>
        </w:rPr>
        <w:t>日经评审备案的全部</w:t>
      </w:r>
      <w:r>
        <w:rPr>
          <w:rFonts w:hint="eastAsia" w:ascii="仿宋_GB2312" w:hAnsi="仿宋_GB2312" w:eastAsia="仿宋_GB2312" w:cs="仿宋_GB2312"/>
          <w:color w:val="auto"/>
          <w:sz w:val="28"/>
          <w:szCs w:val="28"/>
          <w:lang w:val="en-US" w:eastAsia="zh-CN"/>
        </w:rPr>
        <w:t>查明</w:t>
      </w:r>
      <w:r>
        <w:rPr>
          <w:rFonts w:hint="eastAsia" w:ascii="仿宋_GB2312" w:hAnsi="仿宋_GB2312" w:eastAsia="仿宋_GB2312" w:cs="仿宋_GB2312"/>
          <w:color w:val="auto"/>
          <w:sz w:val="28"/>
          <w:szCs w:val="28"/>
          <w:lang w:eastAsia="zh-CN"/>
        </w:rPr>
        <w:t>资源量。</w:t>
      </w:r>
    </w:p>
    <w:p w14:paraId="6D5DA066">
      <w:pPr>
        <w:pStyle w:val="16"/>
        <w:keepNext w:val="0"/>
        <w:keepLines w:val="0"/>
        <w:pageBreakBefore w:val="0"/>
        <w:widowControl w:val="0"/>
        <w:kinsoku w:val="0"/>
        <w:wordWrap/>
        <w:overflowPunct/>
        <w:topLinePunct w:val="0"/>
        <w:autoSpaceDE w:val="0"/>
        <w:autoSpaceDN w:val="0"/>
        <w:bidi w:val="0"/>
        <w:adjustRightInd w:val="0"/>
        <w:snapToGrid w:val="0"/>
        <w:spacing w:after="0" w:line="560" w:lineRule="exact"/>
        <w:ind w:left="0" w:leftChars="0" w:firstLine="562" w:firstLineChars="200"/>
        <w:textAlignment w:val="baseline"/>
        <w:rPr>
          <w:rFonts w:hint="eastAsia" w:ascii="楷体" w:hAnsi="楷体" w:eastAsia="楷体" w:cs="楷体"/>
          <w:b/>
          <w:bCs/>
          <w:color w:val="auto"/>
          <w:sz w:val="28"/>
          <w:szCs w:val="28"/>
        </w:rPr>
      </w:pPr>
      <w:r>
        <w:rPr>
          <w:rFonts w:hint="eastAsia" w:ascii="楷体" w:hAnsi="楷体" w:eastAsia="楷体" w:cs="楷体"/>
          <w:b/>
          <w:bCs/>
          <w:color w:val="auto"/>
          <w:sz w:val="28"/>
          <w:szCs w:val="28"/>
        </w:rPr>
        <w:t>（二）可采资源储量</w:t>
      </w:r>
    </w:p>
    <w:p w14:paraId="4A00B596">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本次</w:t>
      </w:r>
      <w:r>
        <w:rPr>
          <w:rFonts w:hint="eastAsia" w:ascii="仿宋_GB2312" w:hAnsi="仿宋_GB2312" w:eastAsia="仿宋_GB2312" w:cs="仿宋_GB2312"/>
          <w:color w:val="auto"/>
          <w:sz w:val="28"/>
          <w:szCs w:val="28"/>
          <w:lang w:val="en-US" w:eastAsia="zh-CN"/>
        </w:rPr>
        <w:t>方案设计露天采矿场境界范围内推断资源量62.47万m3，设计损失率3.36%。</w:t>
      </w:r>
    </w:p>
    <w:p w14:paraId="3157F705">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根据矿体赋存条件并参照、类比邻近矿山，设计采矿回采率为</w:t>
      </w:r>
      <w:r>
        <w:rPr>
          <w:rFonts w:hint="eastAsia" w:ascii="仿宋_GB2312" w:hAnsi="仿宋_GB2312" w:eastAsia="仿宋_GB2312" w:cs="仿宋_GB2312"/>
          <w:color w:val="auto"/>
          <w:sz w:val="28"/>
          <w:szCs w:val="28"/>
          <w:lang w:val="en-US" w:eastAsia="zh-CN"/>
        </w:rPr>
        <w:t>98.00</w:t>
      </w:r>
      <w:r>
        <w:rPr>
          <w:rFonts w:hint="eastAsia" w:ascii="仿宋_GB2312" w:hAnsi="仿宋_GB2312" w:eastAsia="仿宋_GB2312" w:cs="仿宋_GB2312"/>
          <w:color w:val="auto"/>
          <w:sz w:val="28"/>
          <w:szCs w:val="28"/>
          <w:lang w:eastAsia="zh-CN"/>
        </w:rPr>
        <w:t>%，故本矿山</w:t>
      </w:r>
      <w:r>
        <w:rPr>
          <w:rFonts w:hint="eastAsia" w:ascii="仿宋_GB2312" w:hAnsi="仿宋_GB2312" w:eastAsia="仿宋_GB2312" w:cs="仿宋_GB2312"/>
          <w:color w:val="auto"/>
          <w:sz w:val="28"/>
          <w:szCs w:val="28"/>
          <w:lang w:val="en-US" w:eastAsia="zh-CN"/>
        </w:rPr>
        <w:t>可采推断资源</w:t>
      </w:r>
      <w:r>
        <w:rPr>
          <w:rFonts w:hint="eastAsia" w:ascii="仿宋_GB2312" w:hAnsi="仿宋_GB2312" w:eastAsia="仿宋_GB2312" w:cs="仿宋_GB2312"/>
          <w:color w:val="auto"/>
          <w:sz w:val="28"/>
          <w:szCs w:val="28"/>
          <w:lang w:eastAsia="zh-CN"/>
        </w:rPr>
        <w:t>量计算如下：</w:t>
      </w:r>
    </w:p>
    <w:p w14:paraId="73BAFFD9">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可采推断资源</w:t>
      </w:r>
      <w:r>
        <w:rPr>
          <w:rFonts w:hint="eastAsia" w:ascii="仿宋_GB2312" w:hAnsi="仿宋_GB2312" w:eastAsia="仿宋_GB2312" w:cs="仿宋_GB2312"/>
          <w:color w:val="auto"/>
          <w:sz w:val="28"/>
          <w:szCs w:val="28"/>
          <w:lang w:eastAsia="zh-CN"/>
        </w:rPr>
        <w:t>量</w:t>
      </w:r>
      <w:r>
        <w:rPr>
          <w:rFonts w:hint="eastAsia" w:ascii="仿宋_GB2312" w:hAnsi="仿宋_GB2312" w:eastAsia="仿宋_GB2312" w:cs="仿宋_GB2312"/>
          <w:color w:val="auto"/>
          <w:sz w:val="28"/>
          <w:szCs w:val="28"/>
          <w:lang w:val="en-US" w:eastAsia="zh-CN"/>
        </w:rPr>
        <w:t>＝开采境界内推断资源量×设计</w:t>
      </w:r>
      <w:r>
        <w:rPr>
          <w:rFonts w:hint="eastAsia" w:ascii="仿宋_GB2312" w:hAnsi="仿宋_GB2312" w:eastAsia="仿宋_GB2312" w:cs="仿宋_GB2312"/>
          <w:color w:val="auto"/>
          <w:sz w:val="28"/>
          <w:szCs w:val="28"/>
          <w:lang w:eastAsia="zh-CN"/>
        </w:rPr>
        <w:t>采矿回采率</w:t>
      </w:r>
    </w:p>
    <w:p w14:paraId="78823182">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＝62.47万m3×98</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＝61.22万m3</w:t>
      </w:r>
      <w:r>
        <w:rPr>
          <w:rFonts w:hint="eastAsia" w:ascii="仿宋_GB2312" w:hAnsi="仿宋_GB2312" w:eastAsia="仿宋_GB2312" w:cs="仿宋_GB2312"/>
          <w:color w:val="auto"/>
          <w:sz w:val="28"/>
          <w:szCs w:val="28"/>
          <w:lang w:eastAsia="zh-CN"/>
        </w:rPr>
        <w:t>。</w:t>
      </w:r>
    </w:p>
    <w:p w14:paraId="572D2138">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本矿地质工作为普查，查明资源量为推断资源量，根据《固体矿产资源储量分类》（GBT 17766-2020），设计可采资源量类别仍为可采推断资源量。</w:t>
      </w:r>
    </w:p>
    <w:p w14:paraId="1CC67BF0">
      <w:pPr>
        <w:pStyle w:val="16"/>
        <w:keepNext w:val="0"/>
        <w:keepLines w:val="0"/>
        <w:pageBreakBefore w:val="0"/>
        <w:widowControl w:val="0"/>
        <w:kinsoku w:val="0"/>
        <w:wordWrap/>
        <w:overflowPunct/>
        <w:topLinePunct w:val="0"/>
        <w:autoSpaceDE w:val="0"/>
        <w:autoSpaceDN w:val="0"/>
        <w:bidi w:val="0"/>
        <w:adjustRightInd w:val="0"/>
        <w:snapToGrid w:val="0"/>
        <w:spacing w:after="0" w:line="560" w:lineRule="exact"/>
        <w:ind w:left="0" w:leftChars="0" w:firstLine="562" w:firstLineChars="200"/>
        <w:textAlignment w:val="baseline"/>
        <w:rPr>
          <w:rFonts w:hint="eastAsia" w:ascii="楷体" w:hAnsi="楷体" w:eastAsia="楷体" w:cs="楷体"/>
          <w:b/>
          <w:bCs/>
          <w:color w:val="auto"/>
          <w:sz w:val="28"/>
          <w:szCs w:val="28"/>
        </w:rPr>
      </w:pPr>
      <w:r>
        <w:rPr>
          <w:rFonts w:hint="eastAsia" w:ascii="楷体" w:hAnsi="楷体" w:eastAsia="楷体" w:cs="楷体"/>
          <w:b/>
          <w:bCs/>
          <w:color w:val="auto"/>
          <w:sz w:val="28"/>
          <w:szCs w:val="28"/>
        </w:rPr>
        <w:t>（三）资源储量确定符合性</w:t>
      </w:r>
    </w:p>
    <w:p w14:paraId="0A277BA6">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《方案》资源储量类型确定合理，设计利用资源量、可采资源储量的确定符合自治区自然资源厅相关政策要求。</w:t>
      </w:r>
    </w:p>
    <w:p w14:paraId="3B098AEC">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36" w:firstLineChars="200"/>
        <w:jc w:val="left"/>
        <w:textAlignment w:val="baseline"/>
        <w:outlineLvl w:val="0"/>
        <w:rPr>
          <w:rFonts w:hint="eastAsia" w:ascii="黑体" w:hAnsi="黑体" w:eastAsia="黑体" w:cs="黑体"/>
          <w:b w:val="0"/>
          <w:bCs w:val="0"/>
          <w:color w:val="auto"/>
          <w:spacing w:val="-6"/>
          <w:sz w:val="28"/>
          <w:szCs w:val="28"/>
        </w:rPr>
      </w:pPr>
      <w:r>
        <w:rPr>
          <w:rFonts w:hint="eastAsia" w:ascii="黑体" w:hAnsi="黑体" w:eastAsia="黑体" w:cs="黑体"/>
          <w:b w:val="0"/>
          <w:bCs w:val="0"/>
          <w:color w:val="auto"/>
          <w:spacing w:val="-6"/>
          <w:sz w:val="28"/>
          <w:szCs w:val="28"/>
        </w:rPr>
        <w:t>三、设计开采规模及服务年限</w:t>
      </w:r>
    </w:p>
    <w:p w14:paraId="34D1A590">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_GB2312" w:hAnsi="仿宋_GB2312" w:eastAsia="仿宋_GB2312" w:cs="仿宋_GB2312"/>
          <w:color w:val="000000" w:themeColor="text1"/>
          <w:spacing w:val="1"/>
          <w:sz w:val="28"/>
          <w:szCs w:val="28"/>
          <w14:textFill>
            <w14:solidFill>
              <w14:schemeClr w14:val="tx1"/>
            </w14:solidFill>
          </w14:textFill>
        </w:rPr>
      </w:pPr>
      <w:r>
        <w:rPr>
          <w:rFonts w:hint="eastAsia" w:ascii="仿宋_GB2312" w:hAnsi="仿宋_GB2312" w:eastAsia="仿宋_GB2312" w:cs="仿宋_GB2312"/>
          <w:color w:val="auto"/>
          <w:sz w:val="28"/>
          <w:szCs w:val="28"/>
          <w:lang w:val="en-US" w:eastAsia="zh-CN"/>
        </w:rPr>
        <w:t>该矿为建筑用砂矿，矿产品为0.15～5mm、5～20mm、20～40mm三个粒级的砂石料，矿石主要用于吐鲁番市高昌区及周边村镇建设。根据矿区范围内查明资源量及周边市场需求，推荐矿山建设规模为年采建筑用砂原矿6万m3，设计服务年限为10.20年</w:t>
      </w:r>
      <w:r>
        <w:rPr>
          <w:rFonts w:hint="eastAsia" w:ascii="仿宋_GB2312" w:hAnsi="仿宋_GB2312" w:eastAsia="仿宋_GB2312" w:cs="仿宋_GB2312"/>
          <w:color w:val="auto"/>
          <w:sz w:val="28"/>
          <w:szCs w:val="28"/>
          <w:lang w:val="zh-CN" w:eastAsia="zh-CN"/>
        </w:rPr>
        <w:t>。</w:t>
      </w:r>
    </w:p>
    <w:p w14:paraId="5157A08C">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36" w:firstLineChars="200"/>
        <w:jc w:val="left"/>
        <w:textAlignment w:val="baseline"/>
        <w:outlineLvl w:val="0"/>
        <w:rPr>
          <w:rFonts w:hint="eastAsia" w:ascii="黑体" w:hAnsi="黑体" w:eastAsia="黑体" w:cs="黑体"/>
          <w:b w:val="0"/>
          <w:bCs w:val="0"/>
          <w:color w:val="auto"/>
          <w:spacing w:val="-6"/>
          <w:sz w:val="28"/>
          <w:szCs w:val="28"/>
        </w:rPr>
      </w:pPr>
      <w:r>
        <w:rPr>
          <w:rFonts w:hint="eastAsia" w:ascii="黑体" w:hAnsi="黑体" w:eastAsia="黑体" w:cs="黑体"/>
          <w:b w:val="0"/>
          <w:bCs w:val="0"/>
          <w:color w:val="auto"/>
          <w:spacing w:val="-6"/>
          <w:sz w:val="28"/>
          <w:szCs w:val="28"/>
        </w:rPr>
        <w:t>四、采矿及选矿方案</w:t>
      </w:r>
    </w:p>
    <w:p w14:paraId="40DAE4E2">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矿山采用露天凹陷开采方式，</w:t>
      </w:r>
      <w:r>
        <w:rPr>
          <w:rFonts w:hint="eastAsia" w:ascii="仿宋_GB2312" w:hAnsi="仿宋_GB2312" w:eastAsia="仿宋_GB2312" w:cs="仿宋_GB2312"/>
          <w:color w:val="auto"/>
          <w:sz w:val="28"/>
          <w:szCs w:val="28"/>
          <w:lang w:val="zh-CN" w:eastAsia="zh-CN"/>
        </w:rPr>
        <w:t>公路开拓、汽车运输方案</w:t>
      </w:r>
      <w:r>
        <w:rPr>
          <w:rFonts w:hint="eastAsia" w:ascii="仿宋_GB2312" w:hAnsi="仿宋_GB2312" w:eastAsia="仿宋_GB2312" w:cs="仿宋_GB2312"/>
          <w:color w:val="auto"/>
          <w:sz w:val="28"/>
          <w:szCs w:val="28"/>
          <w:lang w:val="en-US" w:eastAsia="zh-CN"/>
        </w:rPr>
        <w:t>，自上而下分水平台阶开采的采矿方法，选择合理参数圈定露天开采境界，设计损失率3.36%，设计采矿回采率98%，采矿损失率2%。无选矿。</w:t>
      </w:r>
    </w:p>
    <w:p w14:paraId="770B7163">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36" w:firstLineChars="200"/>
        <w:jc w:val="left"/>
        <w:textAlignment w:val="baseline"/>
        <w:outlineLvl w:val="0"/>
        <w:rPr>
          <w:rFonts w:hint="eastAsia" w:ascii="黑体" w:hAnsi="黑体" w:eastAsia="黑体" w:cs="黑体"/>
          <w:b w:val="0"/>
          <w:bCs w:val="0"/>
          <w:color w:val="auto"/>
          <w:spacing w:val="-6"/>
          <w:sz w:val="28"/>
          <w:szCs w:val="28"/>
        </w:rPr>
      </w:pPr>
      <w:r>
        <w:rPr>
          <w:rFonts w:hint="eastAsia" w:ascii="黑体" w:hAnsi="黑体" w:eastAsia="黑体" w:cs="黑体"/>
          <w:b w:val="0"/>
          <w:bCs w:val="0"/>
          <w:color w:val="auto"/>
          <w:spacing w:val="-6"/>
          <w:sz w:val="28"/>
          <w:szCs w:val="28"/>
        </w:rPr>
        <w:t>五、产品方案</w:t>
      </w:r>
    </w:p>
    <w:p w14:paraId="027CE7D1">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该矿为建筑用砂矿，产品方案为矿石粒径0.15～5mm、5～20mm、20～40mm三个粒级的砂石料。</w:t>
      </w:r>
    </w:p>
    <w:p w14:paraId="457F0610">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36" w:firstLineChars="200"/>
        <w:jc w:val="left"/>
        <w:textAlignment w:val="baseline"/>
        <w:outlineLvl w:val="0"/>
        <w:rPr>
          <w:rFonts w:hint="eastAsia" w:ascii="黑体" w:hAnsi="黑体" w:eastAsia="黑体" w:cs="黑体"/>
          <w:b w:val="0"/>
          <w:bCs w:val="0"/>
          <w:color w:val="auto"/>
          <w:spacing w:val="-6"/>
          <w:sz w:val="28"/>
          <w:szCs w:val="28"/>
        </w:rPr>
      </w:pPr>
      <w:r>
        <w:rPr>
          <w:rFonts w:hint="eastAsia" w:ascii="黑体" w:hAnsi="黑体" w:eastAsia="黑体" w:cs="黑体"/>
          <w:b w:val="0"/>
          <w:bCs w:val="0"/>
          <w:color w:val="auto"/>
          <w:spacing w:val="-6"/>
          <w:sz w:val="28"/>
          <w:szCs w:val="28"/>
        </w:rPr>
        <w:t>六、绿色矿山建设</w:t>
      </w:r>
    </w:p>
    <w:p w14:paraId="6B6B1FB8">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设计采取的开采工艺以及选矿工艺符合本行业绿色矿山建设规范和节约与综合利用要求。设计采矿回采率、选矿回收率、综合利用率指标为：</w:t>
      </w:r>
    </w:p>
    <w:p w14:paraId="2E8BB9E6">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采矿回采率：</w:t>
      </w:r>
      <w:r>
        <w:rPr>
          <w:rFonts w:hint="eastAsia" w:ascii="仿宋_GB2312" w:hAnsi="仿宋_GB2312" w:eastAsia="仿宋_GB2312" w:cs="仿宋_GB2312"/>
          <w:color w:val="auto"/>
          <w:sz w:val="28"/>
          <w:szCs w:val="28"/>
          <w:lang w:val="zh-CN" w:eastAsia="zh-CN"/>
        </w:rPr>
        <w:t>根据</w:t>
      </w:r>
      <w:r>
        <w:rPr>
          <w:rFonts w:hint="eastAsia" w:ascii="仿宋_GB2312" w:hAnsi="仿宋_GB2312" w:eastAsia="仿宋_GB2312" w:cs="仿宋_GB2312"/>
          <w:color w:val="auto"/>
          <w:sz w:val="28"/>
          <w:szCs w:val="28"/>
          <w:lang w:val="en-US" w:eastAsia="zh-CN"/>
        </w:rPr>
        <w:t>《砂石行业绿色矿山建设规范》（DZ/T0316-2018）</w:t>
      </w:r>
      <w:r>
        <w:rPr>
          <w:rFonts w:hint="eastAsia" w:ascii="仿宋_GB2312" w:hAnsi="仿宋_GB2312" w:eastAsia="仿宋_GB2312" w:cs="仿宋_GB2312"/>
          <w:color w:val="auto"/>
          <w:sz w:val="28"/>
          <w:szCs w:val="28"/>
          <w:lang w:val="zh-CN" w:eastAsia="zh-CN"/>
        </w:rPr>
        <w:t>，建筑</w:t>
      </w:r>
      <w:r>
        <w:rPr>
          <w:rFonts w:hint="eastAsia" w:ascii="仿宋_GB2312" w:hAnsi="仿宋_GB2312" w:eastAsia="仿宋_GB2312" w:cs="仿宋_GB2312"/>
          <w:color w:val="auto"/>
          <w:sz w:val="28"/>
          <w:szCs w:val="28"/>
          <w:lang w:val="en-US" w:eastAsia="zh-CN"/>
        </w:rPr>
        <w:t>用砂</w:t>
      </w:r>
      <w:r>
        <w:rPr>
          <w:rFonts w:hint="eastAsia" w:ascii="仿宋_GB2312" w:hAnsi="仿宋_GB2312" w:eastAsia="仿宋_GB2312" w:cs="仿宋_GB2312"/>
          <w:color w:val="auto"/>
          <w:sz w:val="28"/>
          <w:szCs w:val="28"/>
          <w:lang w:val="zh-CN" w:eastAsia="zh-CN"/>
        </w:rPr>
        <w:t>石料露天开采回采率不小于95%。该矿设计采用露天开采方式，采矿回采率</w:t>
      </w:r>
      <w:r>
        <w:rPr>
          <w:rFonts w:hint="eastAsia" w:ascii="仿宋_GB2312" w:hAnsi="仿宋_GB2312" w:eastAsia="仿宋_GB2312" w:cs="仿宋_GB2312"/>
          <w:color w:val="auto"/>
          <w:sz w:val="28"/>
          <w:szCs w:val="28"/>
          <w:lang w:val="en-US" w:eastAsia="zh-CN"/>
        </w:rPr>
        <w:t>98</w:t>
      </w:r>
      <w:r>
        <w:rPr>
          <w:rFonts w:hint="eastAsia" w:ascii="仿宋_GB2312" w:hAnsi="仿宋_GB2312" w:eastAsia="仿宋_GB2312" w:cs="仿宋_GB2312"/>
          <w:color w:val="auto"/>
          <w:sz w:val="28"/>
          <w:szCs w:val="28"/>
          <w:lang w:val="zh-CN" w:eastAsia="zh-CN"/>
        </w:rPr>
        <w:t>%，满足指标要求</w:t>
      </w:r>
      <w:r>
        <w:rPr>
          <w:rFonts w:hint="eastAsia" w:ascii="仿宋_GB2312" w:hAnsi="仿宋_GB2312" w:eastAsia="仿宋_GB2312" w:cs="仿宋_GB2312"/>
          <w:color w:val="auto"/>
          <w:sz w:val="28"/>
          <w:szCs w:val="28"/>
          <w:lang w:val="en-US" w:eastAsia="zh-CN"/>
        </w:rPr>
        <w:t>。</w:t>
      </w:r>
    </w:p>
    <w:p w14:paraId="697B3D5D">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选矿回收率：本矿无需选矿，回收利用率100%。</w:t>
      </w:r>
    </w:p>
    <w:p w14:paraId="1AB1E2EB">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_GB2312" w:hAnsi="仿宋_GB2312" w:eastAsia="仿宋_GB2312" w:cs="仿宋_GB2312"/>
          <w:color w:val="auto"/>
          <w:sz w:val="28"/>
          <w:szCs w:val="28"/>
          <w:lang w:val="en-US" w:eastAsia="zh-CN"/>
        </w:rPr>
      </w:pPr>
      <w:bookmarkStart w:id="5" w:name="_Hlk91925669"/>
      <w:r>
        <w:rPr>
          <w:rFonts w:hint="eastAsia" w:ascii="仿宋_GB2312" w:hAnsi="仿宋_GB2312" w:eastAsia="仿宋_GB2312" w:cs="仿宋_GB2312"/>
          <w:color w:val="auto"/>
          <w:sz w:val="28"/>
          <w:szCs w:val="28"/>
          <w:lang w:val="en-US" w:eastAsia="zh-CN"/>
        </w:rPr>
        <w:t>综合利用率：</w:t>
      </w:r>
      <w:bookmarkEnd w:id="5"/>
      <w:r>
        <w:rPr>
          <w:rFonts w:hint="eastAsia" w:ascii="仿宋_GB2312" w:hAnsi="仿宋_GB2312" w:eastAsia="仿宋_GB2312" w:cs="仿宋_GB2312"/>
          <w:color w:val="auto"/>
          <w:sz w:val="28"/>
          <w:szCs w:val="28"/>
          <w:lang w:val="en-US" w:eastAsia="zh-CN"/>
        </w:rPr>
        <w:t>本矿无共伴生矿，采出经筛分后，矿石利用率85.30%。</w:t>
      </w:r>
    </w:p>
    <w:p w14:paraId="5C6F2565">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36" w:firstLineChars="200"/>
        <w:jc w:val="left"/>
        <w:textAlignment w:val="baseline"/>
        <w:outlineLvl w:val="0"/>
        <w:rPr>
          <w:rFonts w:hint="eastAsia" w:ascii="黑体" w:hAnsi="黑体" w:eastAsia="黑体" w:cs="黑体"/>
          <w:b w:val="0"/>
          <w:bCs w:val="0"/>
          <w:color w:val="auto"/>
          <w:spacing w:val="-6"/>
          <w:sz w:val="28"/>
          <w:szCs w:val="28"/>
        </w:rPr>
      </w:pPr>
      <w:r>
        <w:rPr>
          <w:rFonts w:hint="eastAsia" w:ascii="黑体" w:hAnsi="黑体" w:eastAsia="黑体" w:cs="黑体"/>
          <w:b w:val="0"/>
          <w:bCs w:val="0"/>
          <w:color w:val="auto"/>
          <w:spacing w:val="-6"/>
          <w:sz w:val="28"/>
          <w:szCs w:val="28"/>
        </w:rPr>
        <w:t>七、矿区地质环境</w:t>
      </w:r>
      <w:bookmarkStart w:id="6" w:name="_Hlk91925963"/>
      <w:r>
        <w:rPr>
          <w:rFonts w:hint="eastAsia" w:ascii="黑体" w:hAnsi="黑体" w:eastAsia="黑体" w:cs="黑体"/>
          <w:b w:val="0"/>
          <w:bCs w:val="0"/>
          <w:color w:val="auto"/>
          <w:spacing w:val="-6"/>
          <w:sz w:val="28"/>
          <w:szCs w:val="28"/>
        </w:rPr>
        <w:t>治理恢复</w:t>
      </w:r>
      <w:bookmarkEnd w:id="6"/>
    </w:p>
    <w:p w14:paraId="198F175B">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（一）本次工作查明了矿山环境现状，分析了矿山环境发展趋势，其论述内容基本全面，结论基本正确。</w:t>
      </w:r>
    </w:p>
    <w:p w14:paraId="31F222D1">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（二）确定评估级别为二级，评估区面积0.1161km2，评估等级划分正确，评估范围确定合理。</w:t>
      </w:r>
    </w:p>
    <w:p w14:paraId="5182F8A3">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三）对矿山地质环境影响进行了现状分析评估，根据评估区内地质灾害、含水层破坏、地形地貌景观影响、水土环境污染、大气污染等五方面的现状评估结果，考虑各方面影响情况和影响面积的叠加，矿山地质环境影响现状评估划分为较轻区1个区，为整个评估区区域，面积11.61hm2。</w:t>
      </w:r>
    </w:p>
    <w:p w14:paraId="07BB75EF">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四）对采矿活动对矿山地质环境的影响进行了预测评估，根据评估区内地质灾害、含水层破坏、地形地貌景观影响、水土环境污染、大气污染等五方面的预测评估结果，考虑各方面影响情况和影响面积的叠加，将评估区内矿山地质环境影响预测评估区划分为严重区、较严重区和较轻区3个区，评估区总面积11.61hm2，其中：严重区：面积8.00hm2，包括规划露天采场（已扣除位于露天采场内规划办公生活区0.12公顷、规划工业广场0.60公顷、规划废石及泥渣堆放场1公顷、规划矿山运输道路0.24公顷）区域；较严重区：面积0.04hm2，包括拟设采矿权范围外规划矿山道路区域；较轻区：面积3.57hm2，包括评估区除上述以外其他区域。</w:t>
      </w:r>
    </w:p>
    <w:p w14:paraId="5D1D27F4">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（五）确定了矿山环境保护与治理恢复的原则、目标和任务，对矿区进行了矿山环境保护与治理恢复分区，并提出了具体的保护、治理以及监测方案，并进行了经费概算。</w:t>
      </w:r>
    </w:p>
    <w:p w14:paraId="29144437">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1、矿山环境保护与综合治理分区</w:t>
      </w:r>
    </w:p>
    <w:p w14:paraId="1F672AE3">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矿山地质环境保护与恢复治理分区划分为矿山地质环境重点防治区（Ⅰ）、次重点防治区（Ⅱ）和矿山地质环境一般防治区（Ⅲ），分区总面积11.61hm2，其中：重点防治区（Ⅰ）面积8.00hm2，包括规划露天采场（内含规划工业场地、规划废石及泥渣堆放场、拟设采矿权范围内矿山道路）区域；次重点防治区（Ⅱ）面积0.04hm2，包括规划矿山道路（矿区外）区域；一般防治区（Ⅲ）面积3.57hm2，包括评估区除上述以外其他区域。</w:t>
      </w:r>
    </w:p>
    <w:p w14:paraId="04E6EEDF">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2、地质环境治理工程</w:t>
      </w:r>
    </w:p>
    <w:p w14:paraId="0E1122DB">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矿山地质灾害防治及监测：基建期在规划露天采场外围设置铁丝围栏1222m、警示牌23块；开采期间如开采面边坡出现危岩体或不稳定斜坡，及时采用机械定点清除，因工程量具不可预见性，清理工程量计入开采成本。对露天采场边坡稳定性和围栏、警示牌加强监测与巡视，发现损毁及时修复，以提升预防功效，保留铁丝网围栏、警示牌，根据实际情况采取相应的措施。</w:t>
      </w:r>
    </w:p>
    <w:p w14:paraId="4391CF13">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（2）含水层破坏的预防、修复及监测：矿山无生产废水排放，生活污水经处理后用于降尘，不外排；矿山开采活动基本不影响附近水源水质；采矿活动对含水层影响程度较轻，因此矿山不对含水层进行监测。</w:t>
      </w:r>
    </w:p>
    <w:p w14:paraId="20FEF9B0">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地形地貌景观破坏的预防、修复及监测：优化工程施工方案，避免和减少破坏地形地貌景观；严格控制露天采场范围，新掘出矿石及时消化，选用合适的综合利用技术，加大综合利用量，减少对地形地貌景观的破坏；采矿期间保护矿部生活区内的卫生环境，增加绿化，美化环境，减少对地形地貌景观的破坏；矿山开采结束后，对采坑进行削高填低平整，与周边地形地貌相协调；工业广场区矿山闭坑后对建构（筑）物进行拆除，废弃物拉运至七全湖镇建筑垃圾填埋场填埋，对表部进行平整后恢复当地景观环境；对矿山路进行平整后，基本恢复当地景观环境。针对开采区和矿山建设布局采用无人机监测，不专门设置监测点，监测频率1年监测1次。</w:t>
      </w:r>
    </w:p>
    <w:p w14:paraId="5C4BDAF6">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_GB2312" w:hAnsi="仿宋_GB2312" w:eastAsia="仿宋_GB2312" w:cs="仿宋_GB2312"/>
          <w:color w:val="auto"/>
          <w:sz w:val="28"/>
          <w:szCs w:val="28"/>
          <w:lang w:eastAsia="zh-CN"/>
        </w:rPr>
      </w:pPr>
      <w:bookmarkStart w:id="7" w:name="_Toc76982487"/>
      <w:bookmarkStart w:id="8" w:name="_Toc76982307"/>
      <w:bookmarkStart w:id="9" w:name="_Toc4933"/>
      <w:bookmarkStart w:id="10" w:name="_Toc76981923"/>
      <w:r>
        <w:rPr>
          <w:rFonts w:hint="eastAsia" w:ascii="仿宋_GB2312" w:hAnsi="仿宋_GB2312" w:eastAsia="仿宋_GB2312" w:cs="仿宋_GB2312"/>
          <w:color w:val="auto"/>
          <w:sz w:val="28"/>
          <w:szCs w:val="28"/>
          <w:lang w:val="en-US" w:eastAsia="zh-CN"/>
        </w:rPr>
        <w:t>（4）水土环境污染</w:t>
      </w:r>
      <w:bookmarkEnd w:id="7"/>
      <w:bookmarkEnd w:id="8"/>
      <w:bookmarkEnd w:id="9"/>
      <w:bookmarkEnd w:id="10"/>
      <w:r>
        <w:rPr>
          <w:rFonts w:hint="eastAsia" w:ascii="仿宋_GB2312" w:hAnsi="仿宋_GB2312" w:eastAsia="仿宋_GB2312" w:cs="仿宋_GB2312"/>
          <w:color w:val="auto"/>
          <w:sz w:val="28"/>
          <w:szCs w:val="28"/>
          <w:lang w:val="en-US" w:eastAsia="zh-CN"/>
        </w:rPr>
        <w:t>的预防、修复及监测：在矿山开采过程中，做到固体物质不乱堆放，合理有序堆放在相应场地；在生活区配套污水处理池及垃圾箱，生活污水经处理达标后用于道路降尘；生活垃圾集中收集，定期拉运至吐鲁番市高昌区垃圾处理厂，避免对土地造成污染损毁。矿山开采对矿区水土环境污染影响程度轻，矿山未来仅采取监测和预防工程措施，不设计水土环境污染修复工程措施。</w:t>
      </w:r>
    </w:p>
    <w:p w14:paraId="2C7EDD03">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为了解掌握矿山开采影响区内水环境质量状况和受污染程度，需要对区内的生活污水进行监测</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在</w:t>
      </w:r>
      <w:r>
        <w:rPr>
          <w:rFonts w:hint="eastAsia" w:ascii="仿宋_GB2312" w:hAnsi="仿宋_GB2312" w:eastAsia="仿宋_GB2312" w:cs="仿宋_GB2312"/>
          <w:color w:val="auto"/>
          <w:kern w:val="0"/>
          <w:sz w:val="28"/>
          <w:szCs w:val="28"/>
          <w:lang w:bidi="ar"/>
        </w:rPr>
        <w:t>生活区污水处理池进行水环境情况监测</w:t>
      </w:r>
      <w:r>
        <w:rPr>
          <w:rFonts w:hint="eastAsia" w:ascii="仿宋_GB2312" w:hAnsi="仿宋_GB2312" w:eastAsia="仿宋_GB2312" w:cs="仿宋_GB2312"/>
          <w:color w:val="auto"/>
          <w:sz w:val="28"/>
          <w:szCs w:val="28"/>
        </w:rPr>
        <w:t>，布置</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个监测点，监测频率为每半年1次，1年2次，监测其水质是否达到排放标准</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矿山开采至复垦结束</w:t>
      </w:r>
      <w:r>
        <w:rPr>
          <w:rFonts w:hint="eastAsia" w:ascii="仿宋_GB2312" w:hAnsi="仿宋_GB2312" w:eastAsia="仿宋_GB2312" w:cs="仿宋_GB2312"/>
          <w:color w:val="auto"/>
          <w:sz w:val="28"/>
          <w:szCs w:val="28"/>
          <w:lang w:val="en-US" w:eastAsia="zh-CN"/>
        </w:rPr>
        <w:t>10.70年</w:t>
      </w:r>
      <w:r>
        <w:rPr>
          <w:rFonts w:hint="eastAsia" w:ascii="仿宋_GB2312" w:hAnsi="仿宋_GB2312" w:eastAsia="仿宋_GB2312" w:cs="仿宋_GB2312"/>
          <w:color w:val="auto"/>
          <w:sz w:val="28"/>
          <w:szCs w:val="28"/>
        </w:rPr>
        <w:t>内监测次数为</w:t>
      </w:r>
      <w:r>
        <w:rPr>
          <w:rFonts w:hint="eastAsia" w:ascii="仿宋_GB2312" w:hAnsi="仿宋_GB2312" w:eastAsia="仿宋_GB2312" w:cs="仿宋_GB2312"/>
          <w:color w:val="auto"/>
          <w:sz w:val="28"/>
          <w:szCs w:val="28"/>
          <w:lang w:val="en-US" w:eastAsia="zh-CN"/>
        </w:rPr>
        <w:t>22</w:t>
      </w:r>
      <w:r>
        <w:rPr>
          <w:rFonts w:hint="eastAsia" w:ascii="仿宋_GB2312" w:hAnsi="仿宋_GB2312" w:eastAsia="仿宋_GB2312" w:cs="仿宋_GB2312"/>
          <w:color w:val="auto"/>
          <w:sz w:val="28"/>
          <w:szCs w:val="28"/>
        </w:rPr>
        <w:t>点次</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kern w:val="0"/>
          <w:sz w:val="28"/>
          <w:szCs w:val="28"/>
        </w:rPr>
        <w:t>生活区、</w:t>
      </w:r>
      <w:r>
        <w:rPr>
          <w:rFonts w:hint="eastAsia" w:ascii="仿宋_GB2312" w:hAnsi="仿宋_GB2312" w:eastAsia="仿宋_GB2312" w:cs="仿宋_GB2312"/>
          <w:color w:val="auto"/>
          <w:kern w:val="0"/>
          <w:sz w:val="28"/>
          <w:szCs w:val="28"/>
          <w:lang w:val="en-US" w:eastAsia="zh-CN"/>
        </w:rPr>
        <w:t>废石场</w:t>
      </w:r>
      <w:r>
        <w:rPr>
          <w:rFonts w:hint="eastAsia" w:ascii="仿宋_GB2312" w:hAnsi="仿宋_GB2312" w:eastAsia="仿宋_GB2312" w:cs="仿宋_GB2312"/>
          <w:color w:val="auto"/>
          <w:kern w:val="0"/>
          <w:sz w:val="28"/>
          <w:szCs w:val="28"/>
        </w:rPr>
        <w:t>和</w:t>
      </w:r>
      <w:r>
        <w:rPr>
          <w:rFonts w:hint="eastAsia" w:ascii="仿宋_GB2312" w:hAnsi="仿宋_GB2312" w:eastAsia="仿宋_GB2312" w:cs="仿宋_GB2312"/>
          <w:color w:val="auto"/>
          <w:kern w:val="0"/>
          <w:sz w:val="28"/>
          <w:szCs w:val="28"/>
          <w:lang w:val="en-US" w:eastAsia="zh-CN"/>
        </w:rPr>
        <w:t>工业场地</w:t>
      </w:r>
      <w:r>
        <w:rPr>
          <w:rFonts w:hint="eastAsia" w:ascii="仿宋_GB2312" w:hAnsi="仿宋_GB2312" w:eastAsia="仿宋_GB2312" w:cs="仿宋_GB2312"/>
          <w:color w:val="auto"/>
          <w:sz w:val="28"/>
          <w:szCs w:val="28"/>
        </w:rPr>
        <w:t>周围土地会因矿山排放废水的影响而受到不同程度的污染</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为了解掌握区内土壤环境质量状况和受污染程度，需要对区内的土壤环境进行监测</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在</w:t>
      </w:r>
      <w:r>
        <w:rPr>
          <w:rFonts w:hint="eastAsia" w:ascii="仿宋_GB2312" w:hAnsi="仿宋_GB2312" w:eastAsia="仿宋_GB2312" w:cs="仿宋_GB2312"/>
          <w:color w:val="auto"/>
          <w:sz w:val="28"/>
          <w:szCs w:val="28"/>
        </w:rPr>
        <w:t>生活区和</w:t>
      </w:r>
      <w:r>
        <w:rPr>
          <w:rFonts w:hint="eastAsia" w:ascii="仿宋_GB2312" w:hAnsi="仿宋_GB2312" w:eastAsia="仿宋_GB2312" w:cs="仿宋_GB2312"/>
          <w:color w:val="auto"/>
          <w:sz w:val="28"/>
          <w:szCs w:val="28"/>
          <w:lang w:val="en-US" w:eastAsia="zh-CN"/>
        </w:rPr>
        <w:t>工业场地</w:t>
      </w:r>
      <w:r>
        <w:rPr>
          <w:rFonts w:hint="eastAsia" w:ascii="仿宋_GB2312" w:hAnsi="仿宋_GB2312" w:eastAsia="仿宋_GB2312" w:cs="仿宋_GB2312"/>
          <w:color w:val="auto"/>
          <w:sz w:val="28"/>
          <w:szCs w:val="28"/>
        </w:rPr>
        <w:t>各布置1个</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由矿山企业专人或委托有资质的单位定时监测，每年取土壤测试样1次，矿山开采至复垦结束</w:t>
      </w:r>
      <w:r>
        <w:rPr>
          <w:rFonts w:hint="eastAsia" w:ascii="仿宋_GB2312" w:hAnsi="仿宋_GB2312" w:eastAsia="仿宋_GB2312" w:cs="仿宋_GB2312"/>
          <w:color w:val="auto"/>
          <w:sz w:val="28"/>
          <w:szCs w:val="28"/>
          <w:lang w:val="en-US" w:eastAsia="zh-CN"/>
        </w:rPr>
        <w:t>10.70年</w:t>
      </w:r>
      <w:r>
        <w:rPr>
          <w:rFonts w:hint="eastAsia" w:ascii="仿宋_GB2312" w:hAnsi="仿宋_GB2312" w:eastAsia="仿宋_GB2312" w:cs="仿宋_GB2312"/>
          <w:color w:val="auto"/>
          <w:sz w:val="28"/>
          <w:szCs w:val="28"/>
        </w:rPr>
        <w:t>内监测次数为</w:t>
      </w:r>
      <w:r>
        <w:rPr>
          <w:rFonts w:hint="eastAsia" w:ascii="仿宋_GB2312" w:hAnsi="仿宋_GB2312" w:eastAsia="仿宋_GB2312" w:cs="仿宋_GB2312"/>
          <w:color w:val="auto"/>
          <w:sz w:val="28"/>
          <w:szCs w:val="28"/>
          <w:lang w:val="en-US" w:eastAsia="zh-CN"/>
        </w:rPr>
        <w:t>22</w:t>
      </w:r>
      <w:r>
        <w:rPr>
          <w:rFonts w:hint="eastAsia" w:ascii="仿宋_GB2312" w:hAnsi="仿宋_GB2312" w:eastAsia="仿宋_GB2312" w:cs="仿宋_GB2312"/>
          <w:color w:val="auto"/>
          <w:sz w:val="28"/>
          <w:szCs w:val="28"/>
        </w:rPr>
        <w:t>点次。</w:t>
      </w:r>
    </w:p>
    <w:p w14:paraId="49CBC4DB">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（5）大气环境的预防、修复及监测：矿山开采对大气污染程度较轻，考虑矿山采矿结束后自然恢复，因此不进行大气污染修复工程设计。</w:t>
      </w:r>
    </w:p>
    <w:p w14:paraId="36B9D808">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矿山定期对露天采场、</w:t>
      </w:r>
      <w:r>
        <w:rPr>
          <w:rFonts w:hint="eastAsia" w:ascii="仿宋_GB2312" w:hAnsi="仿宋_GB2312" w:eastAsia="仿宋_GB2312" w:cs="仿宋_GB2312"/>
          <w:color w:val="auto"/>
          <w:kern w:val="0"/>
          <w:sz w:val="28"/>
          <w:szCs w:val="28"/>
          <w:lang w:val="en-US" w:eastAsia="zh-CN"/>
        </w:rPr>
        <w:t>废石及泥渣堆放场</w:t>
      </w:r>
      <w:r>
        <w:rPr>
          <w:rFonts w:hint="eastAsia" w:ascii="仿宋_GB2312" w:hAnsi="仿宋_GB2312" w:eastAsia="仿宋_GB2312" w:cs="仿宋_GB2312"/>
          <w:color w:val="auto"/>
          <w:sz w:val="28"/>
          <w:szCs w:val="28"/>
          <w:lang w:val="en-US" w:eastAsia="zh-CN"/>
        </w:rPr>
        <w:t>和矿山道路</w:t>
      </w:r>
      <w:r>
        <w:rPr>
          <w:rFonts w:hint="eastAsia" w:ascii="仿宋_GB2312" w:hAnsi="仿宋_GB2312" w:eastAsia="仿宋_GB2312" w:cs="仿宋_GB2312"/>
          <w:color w:val="auto"/>
          <w:sz w:val="28"/>
          <w:szCs w:val="28"/>
        </w:rPr>
        <w:t>采取洒水降尘措施，以减轻扬尘对大气的污染。严格落实环评报告提出的各项大气污染防护措施，加大环保力度，减轻大气污染，维持空气现状水平。对矿山可能产生扬尘的露天采场、</w:t>
      </w:r>
      <w:r>
        <w:rPr>
          <w:rFonts w:hint="eastAsia" w:ascii="仿宋_GB2312" w:hAnsi="仿宋_GB2312" w:eastAsia="仿宋_GB2312" w:cs="仿宋_GB2312"/>
          <w:color w:val="auto"/>
          <w:sz w:val="28"/>
          <w:szCs w:val="28"/>
          <w:lang w:val="en-US" w:eastAsia="zh-CN"/>
        </w:rPr>
        <w:t>废石及泥渣堆放场和矿山道路</w:t>
      </w:r>
      <w:r>
        <w:rPr>
          <w:rFonts w:hint="eastAsia" w:ascii="仿宋_GB2312" w:hAnsi="仿宋_GB2312" w:eastAsia="仿宋_GB2312" w:cs="仿宋_GB2312"/>
          <w:color w:val="auto"/>
          <w:sz w:val="28"/>
          <w:szCs w:val="28"/>
        </w:rPr>
        <w:t>进行监测。</w:t>
      </w:r>
      <w:r>
        <w:rPr>
          <w:rFonts w:hint="eastAsia" w:ascii="仿宋_GB2312" w:hAnsi="仿宋_GB2312" w:eastAsia="仿宋_GB2312" w:cs="仿宋_GB2312"/>
          <w:color w:val="auto"/>
          <w:sz w:val="28"/>
          <w:szCs w:val="28"/>
          <w:lang w:val="en-US" w:eastAsia="zh-CN"/>
        </w:rPr>
        <w:t>共设3个监测点，</w:t>
      </w:r>
      <w:r>
        <w:rPr>
          <w:rFonts w:hint="eastAsia" w:ascii="仿宋_GB2312" w:hAnsi="仿宋_GB2312" w:eastAsia="仿宋_GB2312" w:cs="仿宋_GB2312"/>
          <w:color w:val="auto"/>
          <w:sz w:val="28"/>
          <w:szCs w:val="28"/>
        </w:rPr>
        <w:t>每年取空气监测2次，矿山开采至复垦结束</w:t>
      </w:r>
      <w:r>
        <w:rPr>
          <w:rFonts w:hint="eastAsia" w:ascii="仿宋_GB2312" w:hAnsi="仿宋_GB2312" w:eastAsia="仿宋_GB2312" w:cs="仿宋_GB2312"/>
          <w:color w:val="auto"/>
          <w:sz w:val="28"/>
          <w:szCs w:val="28"/>
          <w:lang w:val="en-US" w:eastAsia="zh-CN"/>
        </w:rPr>
        <w:t>10.70年</w:t>
      </w:r>
      <w:r>
        <w:rPr>
          <w:rFonts w:hint="eastAsia" w:ascii="仿宋_GB2312" w:hAnsi="仿宋_GB2312" w:eastAsia="仿宋_GB2312" w:cs="仿宋_GB2312"/>
          <w:color w:val="auto"/>
          <w:sz w:val="28"/>
          <w:szCs w:val="28"/>
        </w:rPr>
        <w:t>内监测次数为</w:t>
      </w:r>
      <w:r>
        <w:rPr>
          <w:rFonts w:hint="eastAsia" w:ascii="仿宋_GB2312" w:hAnsi="仿宋_GB2312" w:eastAsia="仿宋_GB2312" w:cs="仿宋_GB2312"/>
          <w:color w:val="auto"/>
          <w:sz w:val="28"/>
          <w:szCs w:val="28"/>
          <w:lang w:val="en-US" w:eastAsia="zh-CN"/>
        </w:rPr>
        <w:t>64</w:t>
      </w:r>
      <w:r>
        <w:rPr>
          <w:rFonts w:hint="eastAsia" w:ascii="仿宋_GB2312" w:hAnsi="仿宋_GB2312" w:eastAsia="仿宋_GB2312" w:cs="仿宋_GB2312"/>
          <w:color w:val="auto"/>
          <w:sz w:val="28"/>
          <w:szCs w:val="28"/>
        </w:rPr>
        <w:t>点次。</w:t>
      </w:r>
    </w:p>
    <w:p w14:paraId="43ADFA45">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36" w:firstLineChars="200"/>
        <w:jc w:val="left"/>
        <w:textAlignment w:val="baseline"/>
        <w:outlineLvl w:val="0"/>
        <w:rPr>
          <w:rFonts w:hint="eastAsia" w:ascii="黑体" w:hAnsi="黑体" w:eastAsia="黑体" w:cs="黑体"/>
          <w:b w:val="0"/>
          <w:bCs w:val="0"/>
          <w:color w:val="auto"/>
          <w:spacing w:val="-6"/>
          <w:sz w:val="28"/>
          <w:szCs w:val="28"/>
        </w:rPr>
      </w:pPr>
      <w:r>
        <w:rPr>
          <w:rFonts w:hint="eastAsia" w:ascii="黑体" w:hAnsi="黑体" w:eastAsia="黑体" w:cs="黑体"/>
          <w:b w:val="0"/>
          <w:bCs w:val="0"/>
          <w:color w:val="auto"/>
          <w:spacing w:val="-6"/>
          <w:sz w:val="28"/>
          <w:szCs w:val="28"/>
        </w:rPr>
        <w:t>八、矿区土地复垦</w:t>
      </w:r>
    </w:p>
    <w:p w14:paraId="6709D166">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1、矿区土地利用现状</w:t>
      </w:r>
    </w:p>
    <w:p w14:paraId="1AA66068">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依据</w:t>
      </w:r>
      <w:r>
        <w:rPr>
          <w:rFonts w:hint="eastAsia" w:ascii="仿宋_GB2312" w:hAnsi="仿宋_GB2312" w:eastAsia="仿宋_GB2312" w:cs="仿宋_GB2312"/>
          <w:color w:val="auto"/>
          <w:sz w:val="28"/>
          <w:szCs w:val="28"/>
          <w:lang w:eastAsia="zh-CN"/>
        </w:rPr>
        <w:t>吐鲁番市</w:t>
      </w:r>
      <w:r>
        <w:rPr>
          <w:rFonts w:hint="eastAsia" w:ascii="仿宋_GB2312" w:hAnsi="仿宋_GB2312" w:eastAsia="仿宋_GB2312" w:cs="仿宋_GB2312"/>
          <w:color w:val="auto"/>
          <w:sz w:val="28"/>
          <w:szCs w:val="28"/>
          <w:lang w:val="en-US" w:eastAsia="zh-CN"/>
        </w:rPr>
        <w:t>高昌区</w:t>
      </w:r>
      <w:r>
        <w:rPr>
          <w:rFonts w:hint="eastAsia" w:ascii="仿宋_GB2312" w:hAnsi="仿宋_GB2312" w:eastAsia="仿宋_GB2312" w:cs="仿宋_GB2312"/>
          <w:color w:val="auto"/>
          <w:sz w:val="28"/>
          <w:szCs w:val="28"/>
          <w:lang w:eastAsia="zh-CN"/>
        </w:rPr>
        <w:t>自然资源局</w:t>
      </w:r>
      <w:r>
        <w:rPr>
          <w:rFonts w:hint="eastAsia" w:ascii="仿宋_GB2312" w:hAnsi="仿宋_GB2312" w:eastAsia="仿宋_GB2312" w:cs="仿宋_GB2312"/>
          <w:color w:val="auto"/>
          <w:sz w:val="28"/>
          <w:szCs w:val="28"/>
        </w:rPr>
        <w:t>出具的《</w:t>
      </w:r>
      <w:r>
        <w:rPr>
          <w:rFonts w:hint="eastAsia" w:ascii="仿宋_GB2312" w:hAnsi="仿宋_GB2312" w:eastAsia="仿宋_GB2312" w:cs="仿宋_GB2312"/>
          <w:color w:val="auto"/>
          <w:sz w:val="28"/>
          <w:szCs w:val="28"/>
          <w:lang w:eastAsia="zh-CN"/>
        </w:rPr>
        <w:t>关于新疆弘晟诚达建材有限公司吐鲁番市高昌区葡萄沟北2号砂石料矿砂场土地属性的情况说明</w:t>
      </w:r>
      <w:r>
        <w:rPr>
          <w:rFonts w:hint="eastAsia" w:ascii="仿宋_GB2312" w:hAnsi="仿宋_GB2312" w:eastAsia="仿宋_GB2312" w:cs="仿宋_GB2312"/>
          <w:color w:val="auto"/>
          <w:sz w:val="28"/>
          <w:szCs w:val="28"/>
        </w:rPr>
        <w:t>》（资料来源于第三次全国土地调查数据库），结合《国土空间调查、规划、用途管制用地用海分类指南》（自然资办发〔202</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234</w:t>
      </w:r>
      <w:r>
        <w:rPr>
          <w:rFonts w:hint="eastAsia" w:ascii="仿宋_GB2312" w:hAnsi="仿宋_GB2312" w:eastAsia="仿宋_GB2312" w:cs="仿宋_GB2312"/>
          <w:color w:val="auto"/>
          <w:sz w:val="28"/>
          <w:szCs w:val="28"/>
        </w:rPr>
        <w:t>号），矿区土地类型为</w:t>
      </w:r>
      <w:r>
        <w:rPr>
          <w:rFonts w:hint="eastAsia" w:ascii="仿宋_GB2312" w:hAnsi="仿宋_GB2312" w:eastAsia="仿宋_GB2312" w:cs="仿宋_GB2312"/>
          <w:color w:val="auto"/>
          <w:sz w:val="28"/>
          <w:szCs w:val="28"/>
          <w:lang w:val="en-US" w:eastAsia="zh-CN"/>
        </w:rPr>
        <w:t>其他土地类</w:t>
      </w:r>
      <w:r>
        <w:rPr>
          <w:rFonts w:hint="eastAsia" w:ascii="仿宋_GB2312" w:hAnsi="仿宋_GB2312" w:eastAsia="仿宋_GB2312" w:cs="仿宋_GB2312"/>
          <w:color w:val="auto"/>
          <w:sz w:val="28"/>
          <w:szCs w:val="28"/>
        </w:rPr>
        <w:t>的</w:t>
      </w:r>
      <w:r>
        <w:rPr>
          <w:rFonts w:hint="eastAsia" w:ascii="仿宋_GB2312" w:hAnsi="仿宋_GB2312" w:eastAsia="仿宋_GB2312" w:cs="仿宋_GB2312"/>
          <w:color w:val="auto"/>
          <w:sz w:val="28"/>
          <w:szCs w:val="28"/>
          <w:lang w:val="en-US" w:eastAsia="zh-CN"/>
        </w:rPr>
        <w:t>裸岩石砾地</w:t>
      </w:r>
      <w:r>
        <w:rPr>
          <w:rFonts w:hint="eastAsia" w:ascii="仿宋_GB2312" w:hAnsi="仿宋_GB2312" w:eastAsia="仿宋_GB2312" w:cs="仿宋_GB2312"/>
          <w:color w:val="auto"/>
          <w:sz w:val="28"/>
          <w:szCs w:val="28"/>
        </w:rPr>
        <w:t>，面积</w:t>
      </w:r>
      <w:r>
        <w:rPr>
          <w:rFonts w:hint="eastAsia" w:ascii="仿宋_GB2312" w:hAnsi="仿宋_GB2312" w:eastAsia="仿宋_GB2312" w:cs="仿宋_GB2312"/>
          <w:color w:val="auto"/>
          <w:sz w:val="28"/>
          <w:szCs w:val="28"/>
          <w:lang w:val="en-US" w:eastAsia="zh-CN"/>
        </w:rPr>
        <w:t>8.00h</w:t>
      </w:r>
      <w:r>
        <w:rPr>
          <w:rFonts w:hint="eastAsia" w:ascii="仿宋_GB2312" w:hAnsi="仿宋_GB2312" w:eastAsia="仿宋_GB2312" w:cs="仿宋_GB2312"/>
          <w:color w:val="auto"/>
          <w:sz w:val="28"/>
          <w:szCs w:val="28"/>
          <w:lang w:val="en-US"/>
        </w:rPr>
        <w:t>m2</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土地权属为国有土地，行政隶属</w:t>
      </w:r>
      <w:r>
        <w:rPr>
          <w:rFonts w:hint="eastAsia" w:ascii="仿宋_GB2312" w:hAnsi="仿宋_GB2312" w:eastAsia="仿宋_GB2312" w:cs="仿宋_GB2312"/>
          <w:color w:val="auto"/>
          <w:sz w:val="28"/>
          <w:szCs w:val="28"/>
          <w:lang w:val="en-US" w:eastAsia="zh-CN"/>
        </w:rPr>
        <w:t>吐鲁番市高昌区</w:t>
      </w:r>
      <w:r>
        <w:rPr>
          <w:rFonts w:hint="eastAsia" w:ascii="仿宋_GB2312" w:hAnsi="仿宋_GB2312" w:eastAsia="仿宋_GB2312" w:cs="仿宋_GB2312"/>
          <w:color w:val="auto"/>
          <w:sz w:val="28"/>
          <w:szCs w:val="28"/>
        </w:rPr>
        <w:t>管辖。</w:t>
      </w:r>
    </w:p>
    <w:p w14:paraId="56F34B17">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2、土地复垦区与复垦责任范围</w:t>
      </w:r>
    </w:p>
    <w:p w14:paraId="4E9B16CE">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本方案复垦区包括</w:t>
      </w:r>
      <w:r>
        <w:rPr>
          <w:rFonts w:hint="eastAsia" w:ascii="仿宋_GB2312" w:hAnsi="仿宋_GB2312" w:eastAsia="仿宋_GB2312" w:cs="仿宋_GB2312"/>
          <w:color w:val="auto"/>
          <w:sz w:val="28"/>
          <w:szCs w:val="28"/>
          <w:lang w:val="en-US" w:eastAsia="zh-CN"/>
        </w:rPr>
        <w:t>规划</w:t>
      </w:r>
      <w:r>
        <w:rPr>
          <w:rFonts w:hint="eastAsia" w:ascii="仿宋_GB2312" w:hAnsi="仿宋_GB2312" w:eastAsia="仿宋_GB2312" w:cs="仿宋_GB2312"/>
          <w:color w:val="auto"/>
          <w:sz w:val="28"/>
          <w:szCs w:val="28"/>
        </w:rPr>
        <w:t>露天采矿场、</w:t>
      </w:r>
      <w:r>
        <w:rPr>
          <w:rFonts w:hint="eastAsia" w:ascii="仿宋_GB2312" w:hAnsi="仿宋_GB2312" w:eastAsia="仿宋_GB2312" w:cs="仿宋_GB2312"/>
          <w:color w:val="auto"/>
          <w:sz w:val="28"/>
          <w:szCs w:val="28"/>
          <w:lang w:val="en-US" w:eastAsia="zh-CN"/>
        </w:rPr>
        <w:t>规划</w:t>
      </w:r>
      <w:r>
        <w:rPr>
          <w:rFonts w:hint="eastAsia" w:ascii="仿宋_GB2312" w:hAnsi="仿宋_GB2312" w:eastAsia="仿宋_GB2312" w:cs="仿宋_GB2312"/>
          <w:color w:val="auto"/>
          <w:sz w:val="28"/>
          <w:szCs w:val="28"/>
        </w:rPr>
        <w:t>工业场地、</w:t>
      </w:r>
      <w:r>
        <w:rPr>
          <w:rFonts w:hint="eastAsia" w:ascii="仿宋_GB2312" w:hAnsi="仿宋_GB2312" w:eastAsia="仿宋_GB2312" w:cs="仿宋_GB2312"/>
          <w:color w:val="auto"/>
          <w:sz w:val="28"/>
          <w:szCs w:val="28"/>
          <w:lang w:val="en-US" w:eastAsia="zh-CN"/>
        </w:rPr>
        <w:t>规划废石及泥渣堆放场、规划</w:t>
      </w:r>
      <w:r>
        <w:rPr>
          <w:rFonts w:hint="eastAsia" w:ascii="仿宋_GB2312" w:hAnsi="仿宋_GB2312" w:eastAsia="仿宋_GB2312" w:cs="仿宋_GB2312"/>
          <w:color w:val="auto"/>
          <w:sz w:val="28"/>
          <w:szCs w:val="28"/>
        </w:rPr>
        <w:t>矿山道路，面积</w:t>
      </w:r>
      <w:r>
        <w:rPr>
          <w:rFonts w:hint="eastAsia" w:ascii="仿宋_GB2312" w:hAnsi="仿宋_GB2312" w:eastAsia="仿宋_GB2312" w:cs="仿宋_GB2312"/>
          <w:color w:val="auto"/>
          <w:sz w:val="28"/>
          <w:szCs w:val="28"/>
          <w:lang w:val="en-US" w:eastAsia="zh-CN"/>
        </w:rPr>
        <w:t>8.04</w:t>
      </w:r>
      <w:r>
        <w:rPr>
          <w:rFonts w:hint="eastAsia" w:ascii="仿宋_GB2312" w:hAnsi="仿宋_GB2312" w:eastAsia="仿宋_GB2312" w:cs="仿宋_GB2312"/>
          <w:color w:val="auto"/>
          <w:sz w:val="28"/>
          <w:szCs w:val="28"/>
        </w:rPr>
        <w:t>hm</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，土地复垦率100%。</w:t>
      </w:r>
    </w:p>
    <w:p w14:paraId="330A3DF4">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3、矿区土地适宜性评价</w:t>
      </w:r>
    </w:p>
    <w:p w14:paraId="29AAADF0">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本方案复垦适宜性评价范围为复垦责任区，合计面积</w:t>
      </w:r>
      <w:r>
        <w:rPr>
          <w:rFonts w:hint="eastAsia" w:ascii="仿宋_GB2312" w:hAnsi="仿宋_GB2312" w:eastAsia="仿宋_GB2312" w:cs="仿宋_GB2312"/>
          <w:color w:val="auto"/>
          <w:sz w:val="28"/>
          <w:szCs w:val="28"/>
          <w:lang w:val="en-US" w:eastAsia="zh-CN"/>
        </w:rPr>
        <w:t>8.04</w:t>
      </w:r>
      <w:r>
        <w:rPr>
          <w:rFonts w:hint="eastAsia" w:ascii="仿宋_GB2312" w:hAnsi="仿宋_GB2312" w:eastAsia="仿宋_GB2312" w:cs="仿宋_GB2312"/>
          <w:color w:val="auto"/>
          <w:sz w:val="28"/>
          <w:szCs w:val="28"/>
        </w:rPr>
        <w:t>hm</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，包括规划露天采场、</w:t>
      </w:r>
      <w:r>
        <w:rPr>
          <w:rFonts w:hint="eastAsia" w:ascii="仿宋_GB2312" w:hAnsi="仿宋_GB2312" w:eastAsia="仿宋_GB2312" w:cs="仿宋_GB2312"/>
          <w:color w:val="auto"/>
          <w:sz w:val="28"/>
          <w:szCs w:val="28"/>
          <w:lang w:val="en-US" w:eastAsia="zh-CN"/>
        </w:rPr>
        <w:t>规划工业广场、规划废石及泥渣堆放场和规划矿山道路</w:t>
      </w:r>
      <w:r>
        <w:rPr>
          <w:rFonts w:hint="eastAsia" w:ascii="仿宋_GB2312" w:hAnsi="仿宋_GB2312" w:eastAsia="仿宋_GB2312" w:cs="仿宋_GB2312"/>
          <w:color w:val="auto"/>
          <w:sz w:val="28"/>
          <w:szCs w:val="28"/>
        </w:rPr>
        <w:t>，确定损毁土地的复垦方向以恢复原功能为主，即复垦为</w:t>
      </w:r>
      <w:r>
        <w:rPr>
          <w:rFonts w:hint="eastAsia" w:ascii="仿宋_GB2312" w:hAnsi="仿宋_GB2312" w:eastAsia="仿宋_GB2312" w:cs="仿宋_GB2312"/>
          <w:color w:val="auto"/>
          <w:sz w:val="28"/>
          <w:szCs w:val="28"/>
          <w:lang w:val="en-US" w:eastAsia="zh-CN"/>
        </w:rPr>
        <w:t>裸岩石砾地</w:t>
      </w:r>
      <w:r>
        <w:rPr>
          <w:rFonts w:hint="eastAsia" w:ascii="仿宋_GB2312" w:hAnsi="仿宋_GB2312" w:eastAsia="仿宋_GB2312" w:cs="仿宋_GB2312"/>
          <w:color w:val="auto"/>
          <w:sz w:val="28"/>
          <w:szCs w:val="28"/>
        </w:rPr>
        <w:t>。</w:t>
      </w:r>
    </w:p>
    <w:p w14:paraId="664D2587">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4、矿区水土资源平衡分析</w:t>
      </w:r>
    </w:p>
    <w:p w14:paraId="520ADC0D">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本项目土地复垦方向为</w:t>
      </w:r>
      <w:r>
        <w:rPr>
          <w:rFonts w:hint="eastAsia" w:ascii="仿宋_GB2312" w:hAnsi="仿宋_GB2312" w:eastAsia="仿宋_GB2312" w:cs="仿宋_GB2312"/>
          <w:color w:val="auto"/>
          <w:sz w:val="28"/>
          <w:szCs w:val="28"/>
          <w:lang w:val="en-US" w:eastAsia="zh-CN"/>
        </w:rPr>
        <w:t>裸岩石砾地</w:t>
      </w:r>
      <w:r>
        <w:rPr>
          <w:rFonts w:hint="eastAsia" w:ascii="仿宋_GB2312" w:hAnsi="仿宋_GB2312" w:eastAsia="仿宋_GB2312" w:cs="仿宋_GB2312"/>
          <w:color w:val="auto"/>
          <w:sz w:val="28"/>
          <w:szCs w:val="28"/>
        </w:rPr>
        <w:t>。</w:t>
      </w:r>
    </w:p>
    <w:p w14:paraId="697D9A37">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（1）根据前述土地复垦方向分析结果，本项目土地复垦方向为</w:t>
      </w:r>
      <w:r>
        <w:rPr>
          <w:rFonts w:hint="eastAsia" w:ascii="仿宋_GB2312" w:hAnsi="仿宋_GB2312" w:eastAsia="仿宋_GB2312" w:cs="仿宋_GB2312"/>
          <w:color w:val="auto"/>
          <w:sz w:val="28"/>
          <w:szCs w:val="28"/>
          <w:lang w:eastAsia="zh-CN"/>
        </w:rPr>
        <w:t>裸岩石砾地</w:t>
      </w:r>
      <w:r>
        <w:rPr>
          <w:rFonts w:hint="eastAsia" w:ascii="仿宋_GB2312" w:hAnsi="仿宋_GB2312" w:eastAsia="仿宋_GB2312" w:cs="仿宋_GB2312"/>
          <w:color w:val="auto"/>
          <w:sz w:val="28"/>
          <w:szCs w:val="28"/>
        </w:rPr>
        <w:t>，不需要种植被，复垦过程中无灌溉浇水；矿区生活用水由</w:t>
      </w:r>
      <w:r>
        <w:rPr>
          <w:rFonts w:hint="eastAsia" w:ascii="仿宋_GB2312" w:hAnsi="仿宋_GB2312" w:eastAsia="仿宋_GB2312" w:cs="仿宋_GB2312"/>
          <w:color w:val="auto"/>
          <w:sz w:val="28"/>
          <w:szCs w:val="28"/>
          <w:lang w:val="en-US" w:eastAsia="zh-CN"/>
        </w:rPr>
        <w:t>葡萄社区</w:t>
      </w:r>
      <w:r>
        <w:rPr>
          <w:rFonts w:hint="eastAsia" w:ascii="仿宋_GB2312" w:hAnsi="仿宋_GB2312" w:eastAsia="仿宋_GB2312" w:cs="仿宋_GB2312"/>
          <w:color w:val="auto"/>
          <w:sz w:val="28"/>
          <w:szCs w:val="28"/>
        </w:rPr>
        <w:t>拉运，可满足矿山需求。</w:t>
      </w:r>
    </w:p>
    <w:p w14:paraId="6382E568">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（2）矿山土地复垦方向为</w:t>
      </w:r>
      <w:r>
        <w:rPr>
          <w:rFonts w:hint="eastAsia" w:ascii="仿宋_GB2312" w:hAnsi="仿宋_GB2312" w:eastAsia="仿宋_GB2312" w:cs="仿宋_GB2312"/>
          <w:color w:val="auto"/>
          <w:sz w:val="28"/>
          <w:szCs w:val="28"/>
          <w:lang w:eastAsia="zh-CN"/>
        </w:rPr>
        <w:t>裸岩石砾地</w:t>
      </w:r>
      <w:r>
        <w:rPr>
          <w:rFonts w:hint="eastAsia" w:ascii="仿宋_GB2312" w:hAnsi="仿宋_GB2312" w:eastAsia="仿宋_GB2312" w:cs="仿宋_GB2312"/>
          <w:color w:val="auto"/>
          <w:sz w:val="28"/>
          <w:szCs w:val="28"/>
        </w:rPr>
        <w:t>，不需要种植植被，复垦工程不涉及表层土剥覆工程。</w:t>
      </w:r>
    </w:p>
    <w:p w14:paraId="0BCC1061">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（3）</w:t>
      </w:r>
      <w:r>
        <w:rPr>
          <w:rFonts w:hint="eastAsia" w:ascii="仿宋_GB2312" w:hAnsi="仿宋_GB2312" w:eastAsia="仿宋_GB2312" w:cs="仿宋_GB2312"/>
          <w:color w:val="auto"/>
          <w:sz w:val="28"/>
          <w:szCs w:val="28"/>
          <w:lang w:val="en-US" w:eastAsia="zh-CN"/>
        </w:rPr>
        <w:t>矿山设计露天凹陷式开采，开采矿种为建筑用砂，经筛分后矿山服务期10.20年共计产生废石（松散方）5.95万m³、泥渣总量4.04万m³，</w:t>
      </w:r>
      <w:r>
        <w:rPr>
          <w:rFonts w:hint="eastAsia" w:ascii="仿宋_GB2312" w:hAnsi="仿宋_GB2312" w:eastAsia="仿宋_GB2312" w:cs="仿宋_GB2312"/>
          <w:color w:val="auto"/>
          <w:sz w:val="28"/>
          <w:szCs w:val="28"/>
        </w:rPr>
        <w:t>全部回填至</w:t>
      </w:r>
      <w:r>
        <w:rPr>
          <w:rFonts w:hint="eastAsia" w:ascii="仿宋_GB2312" w:hAnsi="仿宋_GB2312" w:eastAsia="仿宋_GB2312" w:cs="仿宋_GB2312"/>
          <w:color w:val="auto"/>
          <w:sz w:val="28"/>
          <w:szCs w:val="28"/>
          <w:lang w:val="en-US" w:eastAsia="zh-CN"/>
        </w:rPr>
        <w:t>规划</w:t>
      </w:r>
      <w:r>
        <w:rPr>
          <w:rFonts w:hint="eastAsia" w:ascii="仿宋_GB2312" w:hAnsi="仿宋_GB2312" w:eastAsia="仿宋_GB2312" w:cs="仿宋_GB2312"/>
          <w:color w:val="auto"/>
          <w:sz w:val="28"/>
          <w:szCs w:val="28"/>
        </w:rPr>
        <w:t>露天采场。</w:t>
      </w:r>
      <w:r>
        <w:rPr>
          <w:rFonts w:hint="eastAsia" w:ascii="仿宋_GB2312" w:hAnsi="仿宋_GB2312" w:eastAsia="仿宋_GB2312" w:cs="仿宋_GB2312"/>
          <w:color w:val="auto"/>
          <w:sz w:val="28"/>
          <w:szCs w:val="28"/>
          <w:lang w:val="en-US" w:eastAsia="zh-CN"/>
        </w:rPr>
        <w:t xml:space="preserve">        </w:t>
      </w:r>
    </w:p>
    <w:p w14:paraId="585DB424">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5、土地复垦工程措施</w:t>
      </w:r>
    </w:p>
    <w:p w14:paraId="3411AACF">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_GB2312" w:hAnsi="仿宋_GB2312" w:eastAsia="仿宋_GB2312" w:cs="仿宋_GB2312"/>
          <w:color w:val="auto"/>
          <w:sz w:val="28"/>
          <w:szCs w:val="28"/>
        </w:rPr>
      </w:pPr>
      <w:bookmarkStart w:id="11" w:name="_Hlk92294388"/>
      <w:r>
        <w:rPr>
          <w:rFonts w:hint="eastAsia" w:ascii="仿宋_GB2312" w:hAnsi="仿宋_GB2312" w:eastAsia="仿宋_GB2312" w:cs="仿宋_GB2312"/>
          <w:color w:val="auto"/>
          <w:sz w:val="28"/>
          <w:szCs w:val="28"/>
        </w:rPr>
        <w:t>本方案划分</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个土地复垦单元，分别为</w:t>
      </w:r>
      <w:r>
        <w:rPr>
          <w:rFonts w:hint="eastAsia" w:ascii="仿宋_GB2312" w:hAnsi="仿宋_GB2312" w:eastAsia="仿宋_GB2312" w:cs="仿宋_GB2312"/>
          <w:color w:val="auto"/>
          <w:sz w:val="28"/>
          <w:szCs w:val="28"/>
          <w:lang w:val="en-US" w:eastAsia="zh-CN"/>
        </w:rPr>
        <w:t>规划露天采场</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规划工业广场、规划废石及泥渣堆放场和规划矿山道路</w:t>
      </w:r>
      <w:r>
        <w:rPr>
          <w:rFonts w:hint="eastAsia" w:ascii="仿宋_GB2312" w:hAnsi="仿宋_GB2312" w:eastAsia="仿宋_GB2312" w:cs="仿宋_GB2312"/>
          <w:color w:val="auto"/>
          <w:sz w:val="28"/>
          <w:szCs w:val="28"/>
        </w:rPr>
        <w:t>。</w:t>
      </w:r>
    </w:p>
    <w:p w14:paraId="54ABDBE3">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土地复垦措施主要包括</w:t>
      </w:r>
      <w:r>
        <w:rPr>
          <w:rFonts w:hint="eastAsia" w:ascii="仿宋_GB2312" w:hAnsi="仿宋_GB2312" w:eastAsia="仿宋_GB2312" w:cs="仿宋_GB2312"/>
          <w:color w:val="auto"/>
          <w:sz w:val="28"/>
          <w:szCs w:val="28"/>
          <w:lang w:val="en-US" w:eastAsia="zh-CN"/>
        </w:rPr>
        <w:t>规划露天采场</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规划矿山道路</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规划废石及泥渣堆放场、规划工业广场区域</w:t>
      </w:r>
      <w:r>
        <w:rPr>
          <w:rFonts w:hint="eastAsia" w:ascii="仿宋_GB2312" w:hAnsi="仿宋_GB2312" w:eastAsia="仿宋_GB2312" w:cs="仿宋_GB2312"/>
          <w:color w:val="auto"/>
          <w:sz w:val="28"/>
          <w:szCs w:val="28"/>
        </w:rPr>
        <w:t>设施和硬化层拆除清运处置、平整工程等。</w:t>
      </w:r>
      <w:bookmarkEnd w:id="11"/>
    </w:p>
    <w:p w14:paraId="3A28904E">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6、土地复垦监测</w:t>
      </w:r>
    </w:p>
    <w:p w14:paraId="3F8AE6FB">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_GB2312" w:hAnsi="仿宋_GB2312" w:eastAsia="仿宋_GB2312" w:cs="仿宋_GB2312"/>
          <w:color w:val="auto"/>
          <w:sz w:val="28"/>
          <w:szCs w:val="28"/>
        </w:rPr>
      </w:pPr>
      <w:bookmarkStart w:id="12" w:name="_Hlk92295462"/>
      <w:r>
        <w:rPr>
          <w:rFonts w:hint="eastAsia" w:ascii="仿宋_GB2312" w:hAnsi="仿宋_GB2312" w:eastAsia="仿宋_GB2312" w:cs="仿宋_GB2312"/>
          <w:color w:val="auto"/>
          <w:sz w:val="28"/>
          <w:szCs w:val="28"/>
        </w:rPr>
        <w:t>在</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个待复垦单元各设置</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个监测点，主要为土地损毁监测。监测成果由矿山企业自行管理，必须派专人长期存档、管理。</w:t>
      </w:r>
      <w:bookmarkEnd w:id="12"/>
    </w:p>
    <w:p w14:paraId="0BCB798E">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7、土地复垦实施年限</w:t>
      </w:r>
    </w:p>
    <w:p w14:paraId="60436874">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矿山服务年限为</w:t>
      </w:r>
      <w:r>
        <w:rPr>
          <w:rFonts w:hint="eastAsia" w:ascii="仿宋_GB2312" w:hAnsi="仿宋_GB2312" w:eastAsia="仿宋_GB2312" w:cs="仿宋_GB2312"/>
          <w:color w:val="auto"/>
          <w:sz w:val="28"/>
          <w:szCs w:val="28"/>
          <w:lang w:val="en-US" w:eastAsia="zh-CN"/>
        </w:rPr>
        <w:t>10.20年</w:t>
      </w:r>
      <w:r>
        <w:rPr>
          <w:rFonts w:hint="eastAsia" w:ascii="仿宋_GB2312" w:hAnsi="仿宋_GB2312" w:eastAsia="仿宋_GB2312" w:cs="仿宋_GB2312"/>
          <w:color w:val="auto"/>
          <w:sz w:val="28"/>
          <w:szCs w:val="28"/>
        </w:rPr>
        <w:t>，计划开采时间为2026年1月</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2036年3月，土地复垦工作须在矿体闭坑后进行，计划施工期</w:t>
      </w:r>
      <w:r>
        <w:rPr>
          <w:rFonts w:hint="eastAsia" w:ascii="仿宋_GB2312" w:hAnsi="仿宋_GB2312" w:eastAsia="仿宋_GB2312" w:cs="仿宋_GB2312"/>
          <w:color w:val="auto"/>
          <w:sz w:val="28"/>
          <w:szCs w:val="28"/>
          <w:lang w:val="en-US" w:eastAsia="zh-CN"/>
        </w:rPr>
        <w:t>0.5</w:t>
      </w:r>
      <w:r>
        <w:rPr>
          <w:rFonts w:hint="eastAsia" w:ascii="仿宋_GB2312" w:hAnsi="仿宋_GB2312" w:eastAsia="仿宋_GB2312" w:cs="仿宋_GB2312"/>
          <w:color w:val="auto"/>
          <w:sz w:val="28"/>
          <w:szCs w:val="28"/>
        </w:rPr>
        <w:t>年，计划复垦时间为</w:t>
      </w:r>
      <w:r>
        <w:rPr>
          <w:rFonts w:hint="eastAsia" w:ascii="仿宋_GB2312" w:hAnsi="仿宋_GB2312" w:eastAsia="仿宋_GB2312" w:cs="仿宋_GB2312"/>
          <w:color w:val="auto"/>
          <w:sz w:val="28"/>
          <w:szCs w:val="28"/>
          <w:lang w:val="en-US" w:eastAsia="zh-CN"/>
        </w:rPr>
        <w:t>2036年4月—2036年8月</w:t>
      </w:r>
      <w:r>
        <w:rPr>
          <w:rFonts w:hint="eastAsia" w:ascii="仿宋_GB2312" w:hAnsi="仿宋_GB2312" w:eastAsia="仿宋_GB2312" w:cs="仿宋_GB2312"/>
          <w:color w:val="auto"/>
          <w:sz w:val="28"/>
          <w:szCs w:val="28"/>
        </w:rPr>
        <w:t>。因此矿山从开采到闭坑后土地复垦工作结束共用时约</w:t>
      </w:r>
      <w:r>
        <w:rPr>
          <w:rFonts w:hint="eastAsia" w:ascii="仿宋_GB2312" w:hAnsi="仿宋_GB2312" w:eastAsia="仿宋_GB2312" w:cs="仿宋_GB2312"/>
          <w:color w:val="auto"/>
          <w:sz w:val="28"/>
          <w:szCs w:val="28"/>
          <w:lang w:val="en-US" w:eastAsia="zh-CN"/>
        </w:rPr>
        <w:t>10.70</w:t>
      </w:r>
      <w:r>
        <w:rPr>
          <w:rFonts w:hint="eastAsia" w:ascii="仿宋_GB2312" w:hAnsi="仿宋_GB2312" w:eastAsia="仿宋_GB2312" w:cs="仿宋_GB2312"/>
          <w:color w:val="auto"/>
          <w:sz w:val="28"/>
          <w:szCs w:val="28"/>
        </w:rPr>
        <w:t>年，即2026年1月</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2036年8月。</w:t>
      </w:r>
    </w:p>
    <w:p w14:paraId="59417585">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8、土地复垦阶段工作安排</w:t>
      </w:r>
    </w:p>
    <w:p w14:paraId="193EE978">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矿山生产期主要进行土地损毁监测，待矿山闭矿后立即全面开展土地复垦工</w:t>
      </w:r>
      <w:r>
        <w:rPr>
          <w:rFonts w:hint="eastAsia" w:ascii="仿宋_GB2312" w:hAnsi="仿宋_GB2312" w:eastAsia="仿宋_GB2312" w:cs="仿宋_GB2312"/>
          <w:color w:val="auto"/>
          <w:sz w:val="28"/>
          <w:szCs w:val="28"/>
          <w:lang w:val="en-US" w:eastAsia="zh-CN"/>
        </w:rPr>
        <w:t>程。</w:t>
      </w:r>
      <w:bookmarkStart w:id="13" w:name="_Hlk84521096"/>
      <w:r>
        <w:rPr>
          <w:rFonts w:hint="eastAsia" w:ascii="仿宋_GB2312" w:hAnsi="仿宋_GB2312" w:eastAsia="仿宋_GB2312" w:cs="仿宋_GB2312"/>
          <w:color w:val="auto"/>
          <w:sz w:val="28"/>
          <w:szCs w:val="28"/>
          <w:lang w:val="en-US" w:eastAsia="zh-CN"/>
        </w:rPr>
        <w:t>按照轻重缓急、分阶段实施的原则，将矿山土地复垦工作划分为两个阶段，近期5年（2026年1月—2030年12月）和远期5.70年（2031年1月—2036年8月）。</w:t>
      </w:r>
      <w:bookmarkEnd w:id="13"/>
      <w:r>
        <w:rPr>
          <w:rFonts w:hint="eastAsia" w:ascii="仿宋_GB2312" w:hAnsi="仿宋_GB2312" w:eastAsia="仿宋_GB2312" w:cs="仿宋_GB2312"/>
          <w:color w:val="auto"/>
          <w:sz w:val="28"/>
          <w:szCs w:val="28"/>
          <w:lang w:val="en-US" w:eastAsia="zh-CN"/>
        </w:rPr>
        <w:t>2026年1—2036年3月主要进行土地损毁监测；2036年4月—2036年8月（土地复垦期）闭坑后规划露天采场边坡控制在30°以下，并进行土地平整，避免形成局部凸起或凹陷，有效控制水土流失，与周边地形地貌相协调；规划工业广场区建筑物拆除，废弃物拉运至七泉湖镇建筑垃圾填埋场填埋，并进行土地平整，避免形成局部凸起或凹陷，有效控制水土流失，与周边地形地貌相协调；对矿山道路表部进行削高填低平整，基本做到与周边地形地貌相协调。</w:t>
      </w:r>
    </w:p>
    <w:p w14:paraId="698AD1C2">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textAlignment w:val="baseline"/>
        <w:outlineLvl w:val="0"/>
        <w:rPr>
          <w:rFonts w:hint="eastAsia" w:ascii="黑体" w:hAnsi="黑体" w:eastAsia="黑体" w:cs="黑体"/>
          <w:b w:val="0"/>
          <w:bCs w:val="0"/>
          <w:color w:val="000000" w:themeColor="text1"/>
          <w:sz w:val="28"/>
          <w:szCs w:val="28"/>
          <w14:textFill>
            <w14:solidFill>
              <w14:schemeClr w14:val="tx1"/>
            </w14:solidFill>
          </w14:textFill>
        </w:rPr>
      </w:pPr>
      <w:r>
        <w:rPr>
          <w:rFonts w:hint="eastAsia" w:ascii="黑体" w:hAnsi="黑体" w:eastAsia="黑体" w:cs="黑体"/>
          <w:b w:val="0"/>
          <w:bCs w:val="0"/>
          <w:color w:val="000000" w:themeColor="text1"/>
          <w:sz w:val="28"/>
          <w:szCs w:val="28"/>
          <w14:textFill>
            <w14:solidFill>
              <w14:schemeClr w14:val="tx1"/>
            </w14:solidFill>
          </w14:textFill>
        </w:rPr>
        <w:t>九、技术经济指标</w:t>
      </w:r>
    </w:p>
    <w:p w14:paraId="04509C35">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项目总投资</w:t>
      </w:r>
      <w:r>
        <w:rPr>
          <w:rFonts w:hint="eastAsia" w:ascii="仿宋_GB2312" w:hAnsi="仿宋_GB2312" w:eastAsia="仿宋_GB2312" w:cs="仿宋_GB2312"/>
          <w:color w:val="auto"/>
          <w:sz w:val="28"/>
          <w:szCs w:val="28"/>
          <w:lang w:val="en-US" w:eastAsia="zh-CN"/>
        </w:rPr>
        <w:t>411.20</w:t>
      </w:r>
      <w:r>
        <w:rPr>
          <w:rFonts w:hint="eastAsia" w:ascii="仿宋_GB2312" w:hAnsi="仿宋_GB2312" w:eastAsia="仿宋_GB2312" w:cs="仿宋_GB2312"/>
          <w:color w:val="auto"/>
          <w:sz w:val="28"/>
          <w:szCs w:val="28"/>
        </w:rPr>
        <w:t>万元，其中，建设投资</w:t>
      </w:r>
      <w:r>
        <w:rPr>
          <w:rFonts w:hint="eastAsia" w:ascii="仿宋_GB2312" w:hAnsi="仿宋_GB2312" w:eastAsia="仿宋_GB2312" w:cs="仿宋_GB2312"/>
          <w:color w:val="auto"/>
          <w:sz w:val="28"/>
          <w:szCs w:val="28"/>
          <w:lang w:val="en-US" w:eastAsia="zh-CN"/>
        </w:rPr>
        <w:t>373.82</w:t>
      </w:r>
      <w:r>
        <w:rPr>
          <w:rFonts w:hint="eastAsia" w:ascii="仿宋_GB2312" w:hAnsi="仿宋_GB2312" w:eastAsia="仿宋_GB2312" w:cs="仿宋_GB2312"/>
          <w:color w:val="auto"/>
          <w:sz w:val="28"/>
          <w:szCs w:val="28"/>
        </w:rPr>
        <w:t>万元，项目流动资金</w:t>
      </w:r>
      <w:r>
        <w:rPr>
          <w:rFonts w:hint="eastAsia" w:ascii="仿宋_GB2312" w:hAnsi="仿宋_GB2312" w:eastAsia="仿宋_GB2312" w:cs="仿宋_GB2312"/>
          <w:color w:val="auto"/>
          <w:sz w:val="28"/>
          <w:szCs w:val="28"/>
          <w:lang w:val="en-US" w:eastAsia="zh-CN"/>
        </w:rPr>
        <w:t>37.38</w:t>
      </w:r>
      <w:r>
        <w:rPr>
          <w:rFonts w:hint="eastAsia" w:ascii="仿宋_GB2312" w:hAnsi="仿宋_GB2312" w:eastAsia="仿宋_GB2312" w:cs="仿宋_GB2312"/>
          <w:color w:val="auto"/>
          <w:sz w:val="28"/>
          <w:szCs w:val="28"/>
        </w:rPr>
        <w:t>万元；项目建成投产后，平均年销售收入为348.18万元，正常年利润总额为96.81万元，年上缴所得税额为24.20万元，税后利润为72.61万元。计算结果表明：项目具有较好的盈利能力。总投资收益率为23.54%，投资净利润率为17.66%；项目静态投资回收期为5.66年，表明项目财务可行。</w:t>
      </w:r>
    </w:p>
    <w:p w14:paraId="109C5067">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本矿山地质环境保护与土地复垦工程静态总投资</w:t>
      </w:r>
      <w:r>
        <w:rPr>
          <w:rFonts w:hint="eastAsia" w:ascii="仿宋_GB2312" w:hAnsi="仿宋_GB2312" w:eastAsia="仿宋_GB2312" w:cs="仿宋_GB2312"/>
          <w:color w:val="auto"/>
          <w:sz w:val="28"/>
          <w:szCs w:val="28"/>
          <w:lang w:val="en-US" w:eastAsia="zh-CN"/>
        </w:rPr>
        <w:t>127.61万元，动态总投资145.46万元。其中矿山地质环境保护和治理工程静态总投资估算费用约32.13万元，动态投资34.85万元；土地复垦工程静态总投资为95.48万元，动态投资110.61万元</w:t>
      </w:r>
      <w:r>
        <w:rPr>
          <w:rFonts w:hint="eastAsia" w:ascii="仿宋_GB2312" w:hAnsi="仿宋_GB2312" w:eastAsia="仿宋_GB2312" w:cs="仿宋_GB2312"/>
          <w:color w:val="auto"/>
          <w:sz w:val="28"/>
          <w:szCs w:val="28"/>
        </w:rPr>
        <w:t>。</w:t>
      </w:r>
    </w:p>
    <w:p w14:paraId="7FA9630A">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textAlignment w:val="baseline"/>
        <w:outlineLvl w:val="0"/>
        <w:rPr>
          <w:rFonts w:hint="eastAsia" w:ascii="黑体" w:hAnsi="黑体" w:eastAsia="黑体" w:cs="黑体"/>
          <w:b w:val="0"/>
          <w:bCs w:val="0"/>
          <w:color w:val="000000" w:themeColor="text1"/>
          <w:sz w:val="28"/>
          <w:szCs w:val="28"/>
          <w14:textFill>
            <w14:solidFill>
              <w14:schemeClr w14:val="tx1"/>
            </w14:solidFill>
          </w14:textFill>
        </w:rPr>
      </w:pPr>
      <w:r>
        <w:rPr>
          <w:rFonts w:hint="eastAsia" w:ascii="黑体" w:hAnsi="黑体" w:eastAsia="黑体" w:cs="黑体"/>
          <w:b w:val="0"/>
          <w:bCs w:val="0"/>
          <w:color w:val="000000" w:themeColor="text1"/>
          <w:sz w:val="28"/>
          <w:szCs w:val="28"/>
          <w14:textFill>
            <w14:solidFill>
              <w14:schemeClr w14:val="tx1"/>
            </w14:solidFill>
          </w14:textFill>
        </w:rPr>
        <w:t>十、存在的问题及建议</w:t>
      </w:r>
    </w:p>
    <w:p w14:paraId="387D4DA0">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（一）开发利用方案存在问题和建议</w:t>
      </w:r>
    </w:p>
    <w:p w14:paraId="0671B4F2">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矿区</w:t>
      </w:r>
      <w:r>
        <w:rPr>
          <w:rFonts w:hint="eastAsia" w:ascii="仿宋_GB2312" w:hAnsi="仿宋_GB2312" w:eastAsia="仿宋_GB2312" w:cs="仿宋_GB2312"/>
          <w:color w:val="auto"/>
          <w:sz w:val="28"/>
          <w:szCs w:val="28"/>
          <w:lang w:val="en-US" w:eastAsia="zh-CN"/>
        </w:rPr>
        <w:t>开采</w:t>
      </w:r>
      <w:r>
        <w:rPr>
          <w:rFonts w:hint="eastAsia" w:ascii="仿宋_GB2312" w:hAnsi="仿宋_GB2312" w:eastAsia="仿宋_GB2312" w:cs="仿宋_GB2312"/>
          <w:color w:val="auto"/>
          <w:sz w:val="28"/>
          <w:szCs w:val="28"/>
        </w:rPr>
        <w:t>中必须严格按照设计执行，确保安全，对矿区安全隐患进行排查，防止地质灾害发生。</w:t>
      </w:r>
    </w:p>
    <w:p w14:paraId="1F9A216A">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（二）地质环境治理和土地复垦存在问题和建议</w:t>
      </w:r>
    </w:p>
    <w:p w14:paraId="676057CC">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本《方案》是实施矿山地质环境保护、治理和监测及土地复垦的技术依据之一，不代替相关工程勘察、治理设计。建议</w:t>
      </w:r>
      <w:r>
        <w:rPr>
          <w:rFonts w:hint="eastAsia" w:ascii="仿宋_GB2312" w:hAnsi="仿宋_GB2312" w:eastAsia="仿宋_GB2312" w:cs="仿宋_GB2312"/>
          <w:color w:val="auto"/>
          <w:sz w:val="28"/>
          <w:szCs w:val="28"/>
          <w:lang w:eastAsia="zh-CN"/>
        </w:rPr>
        <w:t>新疆弘晟诚达建材有限公司</w:t>
      </w:r>
      <w:r>
        <w:rPr>
          <w:rFonts w:hint="eastAsia" w:ascii="仿宋_GB2312" w:hAnsi="仿宋_GB2312" w:eastAsia="仿宋_GB2312" w:cs="仿宋_GB2312"/>
          <w:color w:val="auto"/>
          <w:sz w:val="28"/>
          <w:szCs w:val="28"/>
        </w:rPr>
        <w:t>在进行工程治理时，委托相关单位对本矿山地质环境进行专项</w:t>
      </w:r>
      <w:r>
        <w:rPr>
          <w:rFonts w:hint="eastAsia" w:ascii="仿宋_GB2312" w:hAnsi="仿宋_GB2312" w:eastAsia="仿宋_GB2312" w:cs="仿宋_GB2312"/>
          <w:color w:val="auto"/>
          <w:sz w:val="28"/>
          <w:szCs w:val="28"/>
          <w:lang w:eastAsia="zh-CN"/>
        </w:rPr>
        <w:t>工程勘察</w:t>
      </w:r>
      <w:r>
        <w:rPr>
          <w:rFonts w:hint="eastAsia" w:ascii="仿宋_GB2312" w:hAnsi="仿宋_GB2312" w:eastAsia="仿宋_GB2312" w:cs="仿宋_GB2312"/>
          <w:color w:val="auto"/>
          <w:sz w:val="28"/>
          <w:szCs w:val="28"/>
        </w:rPr>
        <w:t>、设计。</w:t>
      </w:r>
    </w:p>
    <w:p w14:paraId="4568F036">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在矿山开采过程中，严格按照相关规范要求，尽量减少废污水的产生，对已经产生的污水必须采取对地质环境影响最小的措施进行妥善处理，达到污水处理的相关要求。</w:t>
      </w:r>
    </w:p>
    <w:p w14:paraId="1C2308FC">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矿山建设、开采过程中，尽量减少对土地资源的</w:t>
      </w:r>
      <w:r>
        <w:rPr>
          <w:rFonts w:hint="eastAsia" w:ascii="仿宋_GB2312" w:hAnsi="仿宋_GB2312" w:eastAsia="仿宋_GB2312" w:cs="仿宋_GB2312"/>
          <w:color w:val="auto"/>
          <w:sz w:val="28"/>
          <w:szCs w:val="28"/>
          <w:lang w:eastAsia="zh-CN"/>
        </w:rPr>
        <w:t>破坏</w:t>
      </w:r>
      <w:r>
        <w:rPr>
          <w:rFonts w:hint="eastAsia" w:ascii="仿宋_GB2312" w:hAnsi="仿宋_GB2312" w:eastAsia="仿宋_GB2312" w:cs="仿宋_GB2312"/>
          <w:color w:val="auto"/>
          <w:sz w:val="28"/>
          <w:szCs w:val="28"/>
        </w:rPr>
        <w:t>，及时恢复损毁用地的土地功能。</w:t>
      </w:r>
    </w:p>
    <w:p w14:paraId="21A851D0">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矿山工作人员在日常巡视过程中，对铁丝网围栏、警示牌等进行</w:t>
      </w:r>
      <w:r>
        <w:rPr>
          <w:rFonts w:hint="eastAsia" w:ascii="仿宋_GB2312" w:hAnsi="仿宋_GB2312" w:eastAsia="仿宋_GB2312" w:cs="仿宋_GB2312"/>
          <w:color w:val="auto"/>
          <w:sz w:val="28"/>
          <w:szCs w:val="28"/>
          <w:lang w:val="en-US" w:eastAsia="zh-CN"/>
        </w:rPr>
        <w:t>检查</w:t>
      </w:r>
      <w:r>
        <w:rPr>
          <w:rFonts w:hint="eastAsia" w:ascii="仿宋_GB2312" w:hAnsi="仿宋_GB2312" w:eastAsia="仿宋_GB2312" w:cs="仿宋_GB2312"/>
          <w:color w:val="auto"/>
          <w:sz w:val="28"/>
          <w:szCs w:val="28"/>
        </w:rPr>
        <w:t>，损坏及时进行修补及更换。按方案设计对地质灾害、含水层、地形地貌、水土环境污染及大气污染进行监测，发现问题及时上报并处理。</w:t>
      </w:r>
    </w:p>
    <w:p w14:paraId="5025108C">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本方案设计工程量及投资仅为初步估算，具体实施时应请有资质单位按各项相关工程的设计规定进行设计、施工，并验收合格后投入使用。考虑到未来情况的多变性、物价涨幅等情况，对于方案远期设计投资估算仅供参考。</w:t>
      </w:r>
    </w:p>
    <w:p w14:paraId="74B934D4">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附件：《新疆弘晟诚达建材有限公司吐鲁番市高昌区葡萄沟北2号砂石料矿矿产资源开发利用与生态保护修复方案》评审专家组名单</w:t>
      </w:r>
    </w:p>
    <w:p w14:paraId="4FF8AB8E">
      <w:pPr>
        <w:keepNext w:val="0"/>
        <w:keepLines w:val="0"/>
        <w:pageBreakBefore w:val="0"/>
        <w:widowControl w:val="0"/>
        <w:kinsoku w:val="0"/>
        <w:wordWrap/>
        <w:overflowPunct/>
        <w:topLinePunct w:val="0"/>
        <w:autoSpaceDE w:val="0"/>
        <w:autoSpaceDN w:val="0"/>
        <w:bidi w:val="0"/>
        <w:adjustRightInd w:val="0"/>
        <w:snapToGrid w:val="0"/>
        <w:spacing w:line="500" w:lineRule="exact"/>
        <w:ind w:left="0" w:leftChars="0" w:firstLine="3360" w:firstLineChars="1200"/>
        <w:textAlignment w:val="baseline"/>
        <w:rPr>
          <w:rFonts w:hint="eastAsia" w:ascii="仿宋_GB2312" w:hAnsi="仿宋_GB2312" w:eastAsia="仿宋_GB2312" w:cs="仿宋_GB2312"/>
          <w:color w:val="auto"/>
          <w:sz w:val="28"/>
          <w:szCs w:val="28"/>
        </w:rPr>
      </w:pPr>
    </w:p>
    <w:p w14:paraId="665CCA75">
      <w:pPr>
        <w:keepNext w:val="0"/>
        <w:keepLines w:val="0"/>
        <w:pageBreakBefore w:val="0"/>
        <w:widowControl w:val="0"/>
        <w:kinsoku w:val="0"/>
        <w:wordWrap/>
        <w:overflowPunct/>
        <w:topLinePunct w:val="0"/>
        <w:autoSpaceDE w:val="0"/>
        <w:autoSpaceDN w:val="0"/>
        <w:bidi w:val="0"/>
        <w:adjustRightInd w:val="0"/>
        <w:snapToGrid w:val="0"/>
        <w:spacing w:line="500" w:lineRule="exact"/>
        <w:ind w:left="0" w:leftChars="0" w:firstLine="3360" w:firstLineChars="1200"/>
        <w:textAlignment w:val="baseline"/>
        <w:rPr>
          <w:rFonts w:hint="eastAsia" w:ascii="仿宋_GB2312" w:hAnsi="仿宋_GB2312" w:eastAsia="仿宋_GB2312" w:cs="仿宋_GB2312"/>
          <w:color w:val="auto"/>
          <w:sz w:val="28"/>
          <w:szCs w:val="28"/>
        </w:rPr>
      </w:pPr>
    </w:p>
    <w:p w14:paraId="77459447">
      <w:pPr>
        <w:keepNext w:val="0"/>
        <w:keepLines w:val="0"/>
        <w:pageBreakBefore w:val="0"/>
        <w:widowControl w:val="0"/>
        <w:kinsoku w:val="0"/>
        <w:wordWrap/>
        <w:overflowPunct/>
        <w:topLinePunct w:val="0"/>
        <w:autoSpaceDE w:val="0"/>
        <w:autoSpaceDN w:val="0"/>
        <w:bidi w:val="0"/>
        <w:adjustRightInd w:val="0"/>
        <w:snapToGrid w:val="0"/>
        <w:spacing w:line="500" w:lineRule="exact"/>
        <w:ind w:left="0" w:leftChars="0" w:firstLine="3360" w:firstLineChars="1200"/>
        <w:textAlignment w:val="baseline"/>
        <w:rPr>
          <w:rFonts w:hint="eastAsia" w:ascii="仿宋_GB2312" w:hAnsi="仿宋_GB2312" w:eastAsia="仿宋_GB2312" w:cs="仿宋_GB2312"/>
          <w:color w:val="auto"/>
          <w:sz w:val="28"/>
          <w:szCs w:val="28"/>
        </w:rPr>
      </w:pPr>
    </w:p>
    <w:p w14:paraId="771C316B">
      <w:pPr>
        <w:keepNext w:val="0"/>
        <w:keepLines w:val="0"/>
        <w:pageBreakBefore w:val="0"/>
        <w:widowControl w:val="0"/>
        <w:kinsoku w:val="0"/>
        <w:wordWrap/>
        <w:overflowPunct/>
        <w:topLinePunct w:val="0"/>
        <w:autoSpaceDE w:val="0"/>
        <w:autoSpaceDN w:val="0"/>
        <w:bidi w:val="0"/>
        <w:adjustRightInd w:val="0"/>
        <w:snapToGrid w:val="0"/>
        <w:spacing w:line="500" w:lineRule="exact"/>
        <w:ind w:left="0" w:leftChars="0" w:firstLine="3360" w:firstLineChars="1200"/>
        <w:textAlignment w:val="baseline"/>
        <w:rPr>
          <w:rFonts w:hint="eastAsia" w:ascii="仿宋_GB2312" w:hAnsi="仿宋_GB2312" w:eastAsia="仿宋_GB2312" w:cs="仿宋_GB2312"/>
          <w:color w:val="auto"/>
          <w:sz w:val="28"/>
          <w:szCs w:val="28"/>
        </w:rPr>
      </w:pPr>
    </w:p>
    <w:p w14:paraId="64EF58A2">
      <w:pPr>
        <w:keepNext w:val="0"/>
        <w:keepLines w:val="0"/>
        <w:pageBreakBefore w:val="0"/>
        <w:widowControl w:val="0"/>
        <w:kinsoku w:val="0"/>
        <w:wordWrap/>
        <w:overflowPunct/>
        <w:topLinePunct w:val="0"/>
        <w:autoSpaceDE w:val="0"/>
        <w:autoSpaceDN w:val="0"/>
        <w:bidi w:val="0"/>
        <w:adjustRightInd w:val="0"/>
        <w:snapToGrid w:val="0"/>
        <w:spacing w:line="500" w:lineRule="exact"/>
        <w:ind w:left="0" w:leftChars="0" w:firstLine="3360" w:firstLineChars="1200"/>
        <w:textAlignment w:val="baseline"/>
        <w:rPr>
          <w:rFonts w:hint="eastAsia" w:ascii="仿宋_GB2312" w:hAnsi="仿宋_GB2312" w:eastAsia="仿宋_GB2312" w:cs="仿宋_GB2312"/>
          <w:color w:val="auto"/>
          <w:sz w:val="28"/>
          <w:szCs w:val="28"/>
        </w:rPr>
      </w:pPr>
    </w:p>
    <w:p w14:paraId="1D180764">
      <w:pPr>
        <w:keepNext w:val="0"/>
        <w:keepLines w:val="0"/>
        <w:pageBreakBefore w:val="0"/>
        <w:widowControl w:val="0"/>
        <w:kinsoku w:val="0"/>
        <w:wordWrap/>
        <w:overflowPunct/>
        <w:topLinePunct w:val="0"/>
        <w:autoSpaceDE w:val="0"/>
        <w:autoSpaceDN w:val="0"/>
        <w:bidi w:val="0"/>
        <w:adjustRightInd w:val="0"/>
        <w:snapToGrid w:val="0"/>
        <w:spacing w:line="500" w:lineRule="exact"/>
        <w:ind w:left="0" w:leftChars="0" w:firstLine="3360" w:firstLineChars="1200"/>
        <w:textAlignment w:val="baseline"/>
        <w:rPr>
          <w:rFonts w:hint="eastAsia" w:ascii="仿宋_GB2312" w:hAnsi="仿宋_GB2312" w:eastAsia="仿宋_GB2312" w:cs="仿宋_GB2312"/>
          <w:color w:val="auto"/>
          <w:sz w:val="28"/>
          <w:szCs w:val="28"/>
        </w:rPr>
      </w:pPr>
    </w:p>
    <w:p w14:paraId="2D00B286">
      <w:pPr>
        <w:keepNext w:val="0"/>
        <w:keepLines w:val="0"/>
        <w:pageBreakBefore w:val="0"/>
        <w:widowControl w:val="0"/>
        <w:kinsoku w:val="0"/>
        <w:wordWrap/>
        <w:overflowPunct/>
        <w:topLinePunct w:val="0"/>
        <w:autoSpaceDE w:val="0"/>
        <w:autoSpaceDN w:val="0"/>
        <w:bidi w:val="0"/>
        <w:adjustRightInd w:val="0"/>
        <w:snapToGrid w:val="0"/>
        <w:spacing w:line="500" w:lineRule="exact"/>
        <w:ind w:left="0" w:leftChars="0" w:firstLine="3360" w:firstLineChars="1200"/>
        <w:textAlignment w:val="baseline"/>
        <w:rPr>
          <w:rFonts w:hint="eastAsia" w:ascii="仿宋_GB2312" w:hAnsi="仿宋_GB2312" w:eastAsia="仿宋_GB2312" w:cs="仿宋_GB2312"/>
          <w:color w:val="auto"/>
          <w:sz w:val="28"/>
          <w:szCs w:val="28"/>
        </w:rPr>
      </w:pPr>
    </w:p>
    <w:p w14:paraId="0A96B9D6">
      <w:pPr>
        <w:keepNext w:val="0"/>
        <w:keepLines w:val="0"/>
        <w:pageBreakBefore w:val="0"/>
        <w:widowControl w:val="0"/>
        <w:kinsoku w:val="0"/>
        <w:wordWrap/>
        <w:overflowPunct/>
        <w:topLinePunct w:val="0"/>
        <w:autoSpaceDE w:val="0"/>
        <w:autoSpaceDN w:val="0"/>
        <w:bidi w:val="0"/>
        <w:adjustRightInd w:val="0"/>
        <w:snapToGrid w:val="0"/>
        <w:spacing w:line="500" w:lineRule="exact"/>
        <w:ind w:left="0" w:leftChars="0" w:firstLine="3360" w:firstLineChars="1200"/>
        <w:textAlignment w:val="baseline"/>
        <w:rPr>
          <w:rFonts w:hint="eastAsia" w:ascii="仿宋_GB2312" w:hAnsi="仿宋_GB2312" w:eastAsia="仿宋_GB2312" w:cs="仿宋_GB2312"/>
          <w:color w:val="auto"/>
          <w:sz w:val="28"/>
          <w:szCs w:val="28"/>
        </w:rPr>
      </w:pPr>
    </w:p>
    <w:p w14:paraId="5BAD0EE3">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firstLine="0" w:firstLineChars="0"/>
        <w:jc w:val="center"/>
        <w:textAlignment w:val="baseline"/>
        <w:rPr>
          <w:rFonts w:ascii="宋体" w:hAnsi="宋体" w:eastAsia="宋体" w:cs="宋体"/>
          <w:color w:val="000000" w:themeColor="text1"/>
          <w:szCs w:val="28"/>
          <w14:textFill>
            <w14:solidFill>
              <w14:schemeClr w14:val="tx1"/>
            </w14:solidFill>
          </w14:textFill>
        </w:rPr>
      </w:pPr>
      <w:r>
        <w:rPr>
          <w:rFonts w:hint="eastAsia" w:ascii="仿宋_GB2312" w:hAnsi="仿宋_GB2312" w:eastAsia="仿宋_GB2312" w:cs="仿宋_GB2312"/>
          <w:color w:val="auto"/>
          <w:sz w:val="28"/>
          <w:szCs w:val="28"/>
          <w:lang w:val="en-US" w:eastAsia="zh-CN"/>
        </w:rPr>
        <w:t>《新疆弘晟诚达建材有限公司吐鲁番市高昌区葡萄沟北2号砂石料矿矿产资源开发利用与生态保护修复方案》</w:t>
      </w:r>
      <w:r>
        <w:rPr>
          <w:rFonts w:hint="eastAsia" w:ascii="仿宋_GB2312" w:hAnsi="仿宋_GB2312" w:eastAsia="仿宋_GB2312" w:cs="仿宋_GB2312"/>
          <w:color w:val="auto"/>
          <w:sz w:val="28"/>
          <w:szCs w:val="28"/>
        </w:rPr>
        <w:t>评审专家组成员名单</w:t>
      </w:r>
    </w:p>
    <w:tbl>
      <w:tblPr>
        <w:tblStyle w:val="17"/>
        <w:tblW w:w="8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6"/>
        <w:gridCol w:w="2126"/>
        <w:gridCol w:w="2126"/>
        <w:gridCol w:w="2575"/>
      </w:tblGrid>
      <w:tr w14:paraId="4D797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146" w:type="dxa"/>
            <w:vAlign w:val="center"/>
          </w:tcPr>
          <w:p w14:paraId="41DE39D6">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napToGrid/>
                <w:color w:val="000000" w:themeColor="text1"/>
                <w:kern w:val="2"/>
                <w:sz w:val="24"/>
                <w:szCs w:val="24"/>
                <w14:textFill>
                  <w14:solidFill>
                    <w14:schemeClr w14:val="tx1"/>
                  </w14:solidFill>
                </w14:textFill>
              </w:rPr>
            </w:pPr>
            <w:r>
              <w:rPr>
                <w:rFonts w:hint="eastAsia" w:ascii="宋体" w:hAnsi="宋体" w:eastAsia="宋体" w:cs="宋体"/>
                <w:snapToGrid/>
                <w:color w:val="000000" w:themeColor="text1"/>
                <w:kern w:val="2"/>
                <w:sz w:val="24"/>
                <w:szCs w:val="24"/>
                <w14:textFill>
                  <w14:solidFill>
                    <w14:schemeClr w14:val="tx1"/>
                  </w14:solidFill>
                </w14:textFill>
              </w:rPr>
              <w:t>姓  名</w:t>
            </w:r>
          </w:p>
        </w:tc>
        <w:tc>
          <w:tcPr>
            <w:tcW w:w="2126" w:type="dxa"/>
            <w:vAlign w:val="center"/>
          </w:tcPr>
          <w:p w14:paraId="5A78A940">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napToGrid/>
                <w:color w:val="000000" w:themeColor="text1"/>
                <w:kern w:val="2"/>
                <w:sz w:val="24"/>
                <w:szCs w:val="24"/>
                <w14:textFill>
                  <w14:solidFill>
                    <w14:schemeClr w14:val="tx1"/>
                  </w14:solidFill>
                </w14:textFill>
              </w:rPr>
            </w:pPr>
            <w:r>
              <w:rPr>
                <w:rFonts w:hint="eastAsia" w:ascii="宋体" w:hAnsi="宋体" w:eastAsia="宋体" w:cs="宋体"/>
                <w:snapToGrid/>
                <w:color w:val="000000" w:themeColor="text1"/>
                <w:kern w:val="2"/>
                <w:sz w:val="24"/>
                <w:szCs w:val="24"/>
                <w14:textFill>
                  <w14:solidFill>
                    <w14:schemeClr w14:val="tx1"/>
                  </w14:solidFill>
                </w14:textFill>
              </w:rPr>
              <w:t>专家组成员</w:t>
            </w:r>
          </w:p>
        </w:tc>
        <w:tc>
          <w:tcPr>
            <w:tcW w:w="2126" w:type="dxa"/>
            <w:vAlign w:val="center"/>
          </w:tcPr>
          <w:p w14:paraId="72B5D9EA">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napToGrid/>
                <w:color w:val="000000" w:themeColor="text1"/>
                <w:kern w:val="2"/>
                <w:sz w:val="24"/>
                <w:szCs w:val="24"/>
                <w14:textFill>
                  <w14:solidFill>
                    <w14:schemeClr w14:val="tx1"/>
                  </w14:solidFill>
                </w14:textFill>
              </w:rPr>
            </w:pPr>
            <w:r>
              <w:rPr>
                <w:rFonts w:hint="eastAsia" w:ascii="宋体" w:hAnsi="宋体" w:eastAsia="宋体" w:cs="宋体"/>
                <w:snapToGrid/>
                <w:color w:val="000000" w:themeColor="text1"/>
                <w:kern w:val="2"/>
                <w:sz w:val="24"/>
                <w:szCs w:val="24"/>
                <w14:textFill>
                  <w14:solidFill>
                    <w14:schemeClr w14:val="tx1"/>
                  </w14:solidFill>
                </w14:textFill>
              </w:rPr>
              <w:t>专  业</w:t>
            </w:r>
          </w:p>
        </w:tc>
        <w:tc>
          <w:tcPr>
            <w:tcW w:w="2575" w:type="dxa"/>
            <w:vAlign w:val="center"/>
          </w:tcPr>
          <w:p w14:paraId="6B48BF9B">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napToGrid/>
                <w:color w:val="000000" w:themeColor="text1"/>
                <w:kern w:val="2"/>
                <w:sz w:val="24"/>
                <w:szCs w:val="24"/>
                <w14:textFill>
                  <w14:solidFill>
                    <w14:schemeClr w14:val="tx1"/>
                  </w14:solidFill>
                </w14:textFill>
              </w:rPr>
            </w:pPr>
            <w:r>
              <w:rPr>
                <w:rFonts w:hint="eastAsia" w:ascii="宋体" w:hAnsi="宋体" w:eastAsia="宋体" w:cs="宋体"/>
                <w:snapToGrid/>
                <w:color w:val="000000" w:themeColor="text1"/>
                <w:kern w:val="2"/>
                <w:sz w:val="24"/>
                <w:szCs w:val="24"/>
                <w14:textFill>
                  <w14:solidFill>
                    <w14:schemeClr w14:val="tx1"/>
                  </w14:solidFill>
                </w14:textFill>
              </w:rPr>
              <w:t>技术职称</w:t>
            </w:r>
          </w:p>
        </w:tc>
      </w:tr>
      <w:tr w14:paraId="11747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146" w:type="dxa"/>
            <w:vAlign w:val="center"/>
          </w:tcPr>
          <w:p w14:paraId="4EF8960E">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napToGrid/>
                <w:color w:val="000000" w:themeColor="text1"/>
                <w:kern w:val="2"/>
                <w:sz w:val="24"/>
                <w:szCs w:val="24"/>
                <w14:textFill>
                  <w14:solidFill>
                    <w14:schemeClr w14:val="tx1"/>
                  </w14:solidFill>
                </w14:textFill>
              </w:rPr>
            </w:pPr>
            <w:r>
              <w:rPr>
                <w:rFonts w:hint="eastAsia" w:ascii="宋体" w:hAnsi="宋体" w:eastAsia="宋体" w:cs="宋体"/>
                <w:snapToGrid/>
                <w:color w:val="000000" w:themeColor="text1"/>
                <w:kern w:val="2"/>
                <w:sz w:val="24"/>
                <w:szCs w:val="24"/>
                <w:lang w:val="en-US" w:eastAsia="zh-CN"/>
                <w14:textFill>
                  <w14:solidFill>
                    <w14:schemeClr w14:val="tx1"/>
                  </w14:solidFill>
                </w14:textFill>
              </w:rPr>
              <w:t>罗爱民</w:t>
            </w:r>
          </w:p>
        </w:tc>
        <w:tc>
          <w:tcPr>
            <w:tcW w:w="2126" w:type="dxa"/>
            <w:vAlign w:val="center"/>
          </w:tcPr>
          <w:p w14:paraId="56E9ECFF">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napToGrid/>
                <w:color w:val="000000" w:themeColor="text1"/>
                <w:kern w:val="2"/>
                <w:sz w:val="24"/>
                <w:szCs w:val="24"/>
                <w14:textFill>
                  <w14:solidFill>
                    <w14:schemeClr w14:val="tx1"/>
                  </w14:solidFill>
                </w14:textFill>
              </w:rPr>
            </w:pPr>
            <w:r>
              <w:rPr>
                <w:rFonts w:hint="eastAsia" w:ascii="宋体" w:hAnsi="宋体" w:eastAsia="宋体" w:cs="宋体"/>
                <w:snapToGrid/>
                <w:color w:val="000000" w:themeColor="text1"/>
                <w:kern w:val="2"/>
                <w:sz w:val="24"/>
                <w:szCs w:val="24"/>
                <w14:textFill>
                  <w14:solidFill>
                    <w14:schemeClr w14:val="tx1"/>
                  </w14:solidFill>
                </w14:textFill>
              </w:rPr>
              <w:t>主审专家</w:t>
            </w:r>
          </w:p>
        </w:tc>
        <w:tc>
          <w:tcPr>
            <w:tcW w:w="2126" w:type="dxa"/>
            <w:vAlign w:val="center"/>
          </w:tcPr>
          <w:p w14:paraId="78B024B2">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napToGrid/>
                <w:color w:val="000000" w:themeColor="text1"/>
                <w:kern w:val="2"/>
                <w:sz w:val="24"/>
                <w:szCs w:val="24"/>
                <w:lang w:eastAsia="zh-CN"/>
                <w14:textFill>
                  <w14:solidFill>
                    <w14:schemeClr w14:val="tx1"/>
                  </w14:solidFill>
                </w14:textFill>
              </w:rPr>
            </w:pPr>
            <w:r>
              <w:rPr>
                <w:rFonts w:hint="eastAsia" w:ascii="宋体" w:hAnsi="宋体" w:eastAsia="宋体" w:cs="宋体"/>
                <w:snapToGrid/>
                <w:color w:val="000000" w:themeColor="text1"/>
                <w:kern w:val="2"/>
                <w:sz w:val="24"/>
                <w:szCs w:val="24"/>
                <w:lang w:val="en-US" w:eastAsia="zh-CN"/>
                <w14:textFill>
                  <w14:solidFill>
                    <w14:schemeClr w14:val="tx1"/>
                  </w14:solidFill>
                </w14:textFill>
              </w:rPr>
              <w:t>采矿工程</w:t>
            </w:r>
          </w:p>
        </w:tc>
        <w:tc>
          <w:tcPr>
            <w:tcW w:w="2575" w:type="dxa"/>
            <w:vAlign w:val="center"/>
          </w:tcPr>
          <w:p w14:paraId="44491C3C">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napToGrid/>
                <w:color w:val="000000" w:themeColor="text1"/>
                <w:kern w:val="2"/>
                <w:sz w:val="24"/>
                <w:szCs w:val="24"/>
                <w:lang w:eastAsia="zh-CN"/>
                <w14:textFill>
                  <w14:solidFill>
                    <w14:schemeClr w14:val="tx1"/>
                  </w14:solidFill>
                </w14:textFill>
              </w:rPr>
            </w:pPr>
            <w:r>
              <w:rPr>
                <w:rFonts w:hint="eastAsia" w:ascii="宋体" w:hAnsi="宋体" w:eastAsia="宋体" w:cs="宋体"/>
                <w:snapToGrid/>
                <w:color w:val="000000" w:themeColor="text1"/>
                <w:kern w:val="2"/>
                <w:sz w:val="24"/>
                <w:szCs w:val="24"/>
                <w:lang w:val="en-US" w:eastAsia="zh-CN"/>
                <w14:textFill>
                  <w14:solidFill>
                    <w14:schemeClr w14:val="tx1"/>
                  </w14:solidFill>
                </w14:textFill>
              </w:rPr>
              <w:t>高级工程师</w:t>
            </w:r>
          </w:p>
        </w:tc>
      </w:tr>
      <w:tr w14:paraId="34B06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146" w:type="dxa"/>
            <w:vAlign w:val="center"/>
          </w:tcPr>
          <w:p w14:paraId="2AC09365">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napToGrid/>
                <w:color w:val="000000" w:themeColor="text1"/>
                <w:kern w:val="2"/>
                <w:sz w:val="24"/>
                <w:szCs w:val="24"/>
                <w14:textFill>
                  <w14:solidFill>
                    <w14:schemeClr w14:val="tx1"/>
                  </w14:solidFill>
                </w14:textFill>
              </w:rPr>
            </w:pPr>
            <w:r>
              <w:rPr>
                <w:rFonts w:hint="eastAsia" w:ascii="宋体" w:hAnsi="宋体" w:eastAsia="宋体" w:cs="宋体"/>
                <w:snapToGrid/>
                <w:color w:val="000000" w:themeColor="text1"/>
                <w:kern w:val="2"/>
                <w:sz w:val="24"/>
                <w:szCs w:val="24"/>
                <w:lang w:val="zh-CN" w:eastAsia="zh-CN"/>
                <w14:textFill>
                  <w14:solidFill>
                    <w14:schemeClr w14:val="tx1"/>
                  </w14:solidFill>
                </w14:textFill>
              </w:rPr>
              <w:t>王惠江</w:t>
            </w:r>
          </w:p>
        </w:tc>
        <w:tc>
          <w:tcPr>
            <w:tcW w:w="2126" w:type="dxa"/>
            <w:vAlign w:val="center"/>
          </w:tcPr>
          <w:p w14:paraId="4D550C67">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napToGrid/>
                <w:color w:val="000000" w:themeColor="text1"/>
                <w:kern w:val="2"/>
                <w:sz w:val="24"/>
                <w:szCs w:val="24"/>
                <w14:textFill>
                  <w14:solidFill>
                    <w14:schemeClr w14:val="tx1"/>
                  </w14:solidFill>
                </w14:textFill>
              </w:rPr>
            </w:pPr>
            <w:r>
              <w:rPr>
                <w:rFonts w:hint="eastAsia" w:ascii="宋体" w:hAnsi="宋体" w:eastAsia="宋体" w:cs="宋体"/>
                <w:snapToGrid/>
                <w:color w:val="000000" w:themeColor="text1"/>
                <w:kern w:val="2"/>
                <w:sz w:val="24"/>
                <w:szCs w:val="24"/>
                <w14:textFill>
                  <w14:solidFill>
                    <w14:schemeClr w14:val="tx1"/>
                  </w14:solidFill>
                </w14:textFill>
              </w:rPr>
              <w:t>评审专家</w:t>
            </w:r>
          </w:p>
        </w:tc>
        <w:tc>
          <w:tcPr>
            <w:tcW w:w="2126" w:type="dxa"/>
            <w:vAlign w:val="center"/>
          </w:tcPr>
          <w:p w14:paraId="0A9F77C6">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napToGrid/>
                <w:color w:val="000000" w:themeColor="text1"/>
                <w:kern w:val="2"/>
                <w:sz w:val="24"/>
                <w:szCs w:val="24"/>
                <w:lang w:eastAsia="zh-CN"/>
                <w14:textFill>
                  <w14:solidFill>
                    <w14:schemeClr w14:val="tx1"/>
                  </w14:solidFill>
                </w14:textFill>
              </w:rPr>
            </w:pPr>
            <w:r>
              <w:rPr>
                <w:rFonts w:hint="eastAsia" w:ascii="宋体" w:hAnsi="宋体" w:eastAsia="宋体" w:cs="宋体"/>
                <w:snapToGrid/>
                <w:color w:val="000000" w:themeColor="text1"/>
                <w:kern w:val="2"/>
                <w:sz w:val="24"/>
                <w:szCs w:val="24"/>
                <w:lang w:val="en-US" w:eastAsia="zh-CN"/>
                <w14:textFill>
                  <w14:solidFill>
                    <w14:schemeClr w14:val="tx1"/>
                  </w14:solidFill>
                </w14:textFill>
              </w:rPr>
              <w:t>地质矿产</w:t>
            </w:r>
          </w:p>
        </w:tc>
        <w:tc>
          <w:tcPr>
            <w:tcW w:w="2575" w:type="dxa"/>
            <w:vAlign w:val="center"/>
          </w:tcPr>
          <w:p w14:paraId="7E047D24">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宋体" w:hAnsi="宋体" w:eastAsia="宋体" w:cs="宋体"/>
                <w:snapToGrid/>
                <w:color w:val="000000" w:themeColor="text1"/>
                <w:kern w:val="2"/>
                <w:sz w:val="24"/>
                <w:szCs w:val="24"/>
                <w:lang w:val="en-US" w:eastAsia="zh-CN"/>
                <w14:textFill>
                  <w14:solidFill>
                    <w14:schemeClr w14:val="tx1"/>
                  </w14:solidFill>
                </w14:textFill>
              </w:rPr>
            </w:pPr>
            <w:r>
              <w:rPr>
                <w:rFonts w:hint="eastAsia" w:ascii="宋体" w:hAnsi="宋体" w:eastAsia="宋体" w:cs="宋体"/>
                <w:snapToGrid/>
                <w:color w:val="000000" w:themeColor="text1"/>
                <w:kern w:val="2"/>
                <w:sz w:val="24"/>
                <w:szCs w:val="24"/>
                <w:lang w:val="en-US" w:eastAsia="zh-CN"/>
                <w14:textFill>
                  <w14:solidFill>
                    <w14:schemeClr w14:val="tx1"/>
                  </w14:solidFill>
                </w14:textFill>
              </w:rPr>
              <w:t>高级工程师</w:t>
            </w:r>
          </w:p>
        </w:tc>
      </w:tr>
      <w:tr w14:paraId="2B1BB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146" w:type="dxa"/>
            <w:vAlign w:val="center"/>
          </w:tcPr>
          <w:p w14:paraId="6F335AD9">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napToGrid/>
                <w:color w:val="000000" w:themeColor="text1"/>
                <w:kern w:val="2"/>
                <w:sz w:val="24"/>
                <w:szCs w:val="24"/>
                <w:lang w:eastAsia="zh-CN"/>
                <w14:textFill>
                  <w14:solidFill>
                    <w14:schemeClr w14:val="tx1"/>
                  </w14:solidFill>
                </w14:textFill>
              </w:rPr>
            </w:pPr>
            <w:r>
              <w:rPr>
                <w:rFonts w:hint="eastAsia" w:ascii="宋体" w:hAnsi="宋体" w:eastAsia="宋体" w:cs="宋体"/>
                <w:snapToGrid/>
                <w:color w:val="000000" w:themeColor="text1"/>
                <w:kern w:val="2"/>
                <w:sz w:val="24"/>
                <w:szCs w:val="24"/>
                <w:lang w:val="en-US" w:eastAsia="zh-CN"/>
                <w14:textFill>
                  <w14:solidFill>
                    <w14:schemeClr w14:val="tx1"/>
                  </w14:solidFill>
                </w14:textFill>
              </w:rPr>
              <w:t>黄铁栋</w:t>
            </w:r>
          </w:p>
        </w:tc>
        <w:tc>
          <w:tcPr>
            <w:tcW w:w="2126" w:type="dxa"/>
            <w:vAlign w:val="center"/>
          </w:tcPr>
          <w:p w14:paraId="665E5A46">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napToGrid/>
                <w:color w:val="000000" w:themeColor="text1"/>
                <w:kern w:val="2"/>
                <w:sz w:val="24"/>
                <w:szCs w:val="24"/>
                <w14:textFill>
                  <w14:solidFill>
                    <w14:schemeClr w14:val="tx1"/>
                  </w14:solidFill>
                </w14:textFill>
              </w:rPr>
            </w:pPr>
            <w:r>
              <w:rPr>
                <w:rFonts w:hint="eastAsia" w:ascii="宋体" w:hAnsi="宋体" w:eastAsia="宋体" w:cs="宋体"/>
                <w:snapToGrid/>
                <w:color w:val="000000" w:themeColor="text1"/>
                <w:kern w:val="2"/>
                <w:sz w:val="24"/>
                <w:szCs w:val="24"/>
                <w14:textFill>
                  <w14:solidFill>
                    <w14:schemeClr w14:val="tx1"/>
                  </w14:solidFill>
                </w14:textFill>
              </w:rPr>
              <w:t>评审专家</w:t>
            </w:r>
          </w:p>
        </w:tc>
        <w:tc>
          <w:tcPr>
            <w:tcW w:w="2126" w:type="dxa"/>
            <w:vAlign w:val="center"/>
          </w:tcPr>
          <w:p w14:paraId="7381A5F8">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napToGrid/>
                <w:color w:val="000000" w:themeColor="text1"/>
                <w:kern w:val="2"/>
                <w:sz w:val="24"/>
                <w:szCs w:val="24"/>
                <w:lang w:eastAsia="zh-CN"/>
                <w14:textFill>
                  <w14:solidFill>
                    <w14:schemeClr w14:val="tx1"/>
                  </w14:solidFill>
                </w14:textFill>
              </w:rPr>
            </w:pPr>
            <w:r>
              <w:rPr>
                <w:rFonts w:hint="eastAsia" w:ascii="宋体" w:hAnsi="宋体" w:eastAsia="宋体" w:cs="宋体"/>
                <w:snapToGrid/>
                <w:color w:val="000000" w:themeColor="text1"/>
                <w:kern w:val="2"/>
                <w:sz w:val="24"/>
                <w:szCs w:val="24"/>
                <w:lang w:val="en-US" w:eastAsia="zh-CN"/>
                <w14:textFill>
                  <w14:solidFill>
                    <w14:schemeClr w14:val="tx1"/>
                  </w14:solidFill>
                </w14:textFill>
              </w:rPr>
              <w:t>水工环</w:t>
            </w:r>
          </w:p>
        </w:tc>
        <w:tc>
          <w:tcPr>
            <w:tcW w:w="2575" w:type="dxa"/>
            <w:vAlign w:val="center"/>
          </w:tcPr>
          <w:p w14:paraId="021F1686">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napToGrid/>
                <w:color w:val="000000" w:themeColor="text1"/>
                <w:kern w:val="2"/>
                <w:sz w:val="24"/>
                <w:szCs w:val="24"/>
                <w14:textFill>
                  <w14:solidFill>
                    <w14:schemeClr w14:val="tx1"/>
                  </w14:solidFill>
                </w14:textFill>
              </w:rPr>
            </w:pPr>
            <w:r>
              <w:rPr>
                <w:rFonts w:hint="eastAsia" w:ascii="宋体" w:hAnsi="宋体" w:eastAsia="宋体" w:cs="宋体"/>
                <w:snapToGrid/>
                <w:color w:val="000000" w:themeColor="text1"/>
                <w:kern w:val="2"/>
                <w:sz w:val="24"/>
                <w:szCs w:val="24"/>
                <w14:textFill>
                  <w14:solidFill>
                    <w14:schemeClr w14:val="tx1"/>
                  </w14:solidFill>
                </w14:textFill>
              </w:rPr>
              <w:t>高级工程师</w:t>
            </w:r>
          </w:p>
        </w:tc>
      </w:tr>
    </w:tbl>
    <w:p w14:paraId="76883562">
      <w:pPr>
        <w:keepNext w:val="0"/>
        <w:keepLines w:val="0"/>
        <w:pageBreakBefore w:val="0"/>
        <w:wordWrap/>
        <w:overflowPunct/>
        <w:topLinePunct w:val="0"/>
        <w:autoSpaceDE w:val="0"/>
        <w:autoSpaceDN w:val="0"/>
        <w:bidi w:val="0"/>
        <w:adjustRightInd w:val="0"/>
        <w:spacing w:line="500" w:lineRule="exact"/>
        <w:rPr>
          <w:rFonts w:ascii="宋体" w:hAnsi="宋体" w:eastAsia="宋体" w:cs="宋体"/>
          <w:color w:val="000000" w:themeColor="text1"/>
          <w:szCs w:val="28"/>
          <w14:textFill>
            <w14:solidFill>
              <w14:schemeClr w14:val="tx1"/>
            </w14:solidFill>
          </w14:textFill>
        </w:rPr>
        <w:sectPr>
          <w:footerReference r:id="rId13" w:type="default"/>
          <w:pgSz w:w="11907" w:h="16839"/>
          <w:pgMar w:top="1421" w:right="1414" w:bottom="1341" w:left="1428" w:header="0" w:footer="1147" w:gutter="0"/>
          <w:cols w:space="720" w:num="1"/>
        </w:sectPr>
      </w:pPr>
    </w:p>
    <w:p w14:paraId="3ABC8550">
      <w:pPr>
        <w:keepNext w:val="0"/>
        <w:keepLines w:val="0"/>
        <w:pageBreakBefore w:val="0"/>
        <w:widowControl/>
        <w:kinsoku w:val="0"/>
        <w:wordWrap/>
        <w:overflowPunct/>
        <w:topLinePunct w:val="0"/>
        <w:autoSpaceDE w:val="0"/>
        <w:autoSpaceDN w:val="0"/>
        <w:bidi w:val="0"/>
        <w:adjustRightInd w:val="0"/>
        <w:snapToGrid w:val="0"/>
        <w:ind w:left="0" w:leftChars="0" w:firstLine="0" w:firstLineChars="0"/>
        <w:textAlignment w:val="baseline"/>
        <w:rPr>
          <w:rFonts w:ascii="宋体" w:hAnsi="宋体" w:eastAsia="宋体" w:cs="宋体"/>
          <w:color w:val="000000" w:themeColor="text1"/>
          <w:szCs w:val="28"/>
          <w14:textFill>
            <w14:solidFill>
              <w14:schemeClr w14:val="tx1"/>
            </w14:solidFill>
          </w14:textFill>
        </w:rPr>
      </w:pPr>
    </w:p>
    <w:sectPr>
      <w:pgSz w:w="11907" w:h="16839"/>
      <w:pgMar w:top="1421" w:right="1414" w:bottom="1341" w:left="1428" w:header="0" w:footer="114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EBE0BAB-27DB-4E5A-B33B-029407C0005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粗黑宋简体">
    <w:panose1 w:val="02000000000000000000"/>
    <w:charset w:val="86"/>
    <w:family w:val="auto"/>
    <w:pitch w:val="default"/>
    <w:sig w:usb0="A00002BF" w:usb1="184F6CFA" w:usb2="00000012" w:usb3="00000000" w:csb0="00040001" w:csb1="00000000"/>
    <w:embedRegular r:id="rId2" w:fontKey="{556FADAA-8420-4308-8484-07A0CC50A12F}"/>
  </w:font>
  <w:font w:name="仿宋_GB2312">
    <w:panose1 w:val="02010609030101010101"/>
    <w:charset w:val="86"/>
    <w:family w:val="modern"/>
    <w:pitch w:val="default"/>
    <w:sig w:usb0="00000001" w:usb1="080E0000" w:usb2="00000000" w:usb3="00000000" w:csb0="00040000" w:csb1="00000000"/>
    <w:embedRegular r:id="rId3" w:fontKey="{7F02E0EE-ECBC-405F-9E0F-9CE784463B90}"/>
  </w:font>
  <w:font w:name="楷体">
    <w:panose1 w:val="02010609060101010101"/>
    <w:charset w:val="86"/>
    <w:family w:val="auto"/>
    <w:pitch w:val="default"/>
    <w:sig w:usb0="800002BF" w:usb1="38CF7CFA" w:usb2="00000016" w:usb3="00000000" w:csb0="00040001" w:csb1="00000000"/>
    <w:embedRegular r:id="rId4" w:fontKey="{59CB7189-0AEF-493E-827A-91DF0D8CC93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D59A8">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78F40">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CC8C7">
    <w:pPr>
      <w:pStyle w:val="1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44EF3">
    <w:pPr>
      <w:pStyle w:val="12"/>
      <w:ind w:firstLine="360"/>
      <w:rPr>
        <w:szCs w:val="2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40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6300F82">
                          <w:pPr>
                            <w:pStyle w:val="12"/>
                            <w:ind w:firstLine="360"/>
                          </w:pPr>
                          <w:r>
                            <w:fldChar w:fldCharType="begin"/>
                          </w:r>
                          <w:r>
                            <w:instrText xml:space="preserve"> PAGE  \* MERGEFORMAT </w:instrText>
                          </w:r>
                          <w:r>
                            <w:fldChar w:fldCharType="separate"/>
                          </w:r>
                          <w:r>
                            <w:t>4</w:t>
                          </w:r>
                          <w:r>
                            <w:fldChar w:fldCharType="end"/>
                          </w:r>
                        </w:p>
                      </w:txbxContent>
                    </wps:txbx>
                    <wps:bodyPr wrap="none" lIns="0" tIns="0" rIns="0" bIns="0" upright="1">
                      <a:spAutoFit/>
                    </wps:bodyPr>
                  </wps:wsp>
                </a:graphicData>
              </a:graphic>
            </wp:anchor>
          </w:drawing>
        </mc:Choice>
        <mc:Fallback>
          <w:pict>
            <v:shape id="409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dQjLwBAACgAwAADgAAAGRycy9lMm9Eb2MueG1srVPbitswEH0v9B+E&#10;3hs7oZSsibPsErYUSlvY9gMUWYoFujGjxM7fdyTb2Xb7sg99kecinZlzZry7H51lFwVogm/5elVz&#10;prwMnfGnlv/6+fRhyxkm4Tthg1ctvyrk9/v373ZDbNQm9MF2ChiBeGyG2PI+pdhUFcpeOYGrEJWn&#10;pA7gRCIXTlUHYiB0Z6tNXX+qhgBdhCAVIkUPU5LPiPAWwKC1keoQ5NkpnyZUUFYkooS9icj3pVut&#10;lUzftUaVmG05MU3lpCJkH/NZ7XeiOYGIvZFzC+ItLbzi5ITxVPQGdRBJsDOYf6CckRAw6LSSwVUT&#10;kaIIsVjXr7R57kVUhQtJjfEmOv4/WPnt8gOY6Vq+4cwLRwP/WN/dZV2GiA2lnyNdSONjGGlbljhS&#10;MNMdNbj8JSKM8qTq9aaqGhOT+dF2s93WlJKUWxzCr16eR8D0WQXHstFyoLEVNcXlK6bp6nIlV/Ph&#10;yVhbRmf9XwHCnCKqzH5+nZlMHWcrjcdxpncM3ZXYDTT/lntad87sF0/y5lVZDFiM42KcI5hTT42u&#10;S5cYH86JWiqd5goTLDHMDg2ucJ2XLG/Gn3659fJj7X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Pf3UIy8AQAAoAMAAA4AAAAAAAAAAQAgAAAAHgEAAGRycy9lMm9Eb2MueG1sUEsFBgAAAAAG&#10;AAYAWQEAAEwFAAAAAA==&#10;">
              <v:fill on="f" focussize="0,0"/>
              <v:stroke on="f"/>
              <v:imagedata o:title=""/>
              <o:lock v:ext="edit" aspectratio="f"/>
              <v:textbox inset="0mm,0mm,0mm,0mm" style="mso-fit-shape-to-text:t;">
                <w:txbxContent>
                  <w:p w14:paraId="66300F82">
                    <w:pPr>
                      <w:pStyle w:val="12"/>
                      <w:ind w:firstLine="360"/>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71B4C">
    <w:pPr>
      <w:pStyle w:val="12"/>
      <w:ind w:firstLine="360"/>
      <w:jc w:val="center"/>
    </w:pPr>
    <w:r>
      <w:fldChar w:fldCharType="begin"/>
    </w:r>
    <w:r>
      <w:instrText xml:space="preserve">PAGE   \* MERGEFORMAT</w:instrText>
    </w:r>
    <w:r>
      <w:fldChar w:fldCharType="separate"/>
    </w:r>
    <w:r>
      <w:rPr>
        <w:lang w:val="zh-CN"/>
      </w:rPr>
      <w:t>17</w:t>
    </w:r>
    <w:r>
      <w:fldChar w:fldCharType="end"/>
    </w:r>
  </w:p>
  <w:p w14:paraId="63EB940F">
    <w:pPr>
      <w:pStyle w:val="1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56F6F">
    <w:pPr>
      <w:ind w:firstLine="5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3B884">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DC72F">
    <w:pPr>
      <w:pStyle w:val="1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31AE6">
    <w:pPr>
      <w:ind w:firstLine="5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2CC3DB"/>
    <w:multiLevelType w:val="singleLevel"/>
    <w:tmpl w:val="C32CC3DB"/>
    <w:lvl w:ilvl="0" w:tentative="0">
      <w:start w:val="1"/>
      <w:numFmt w:val="decimal"/>
      <w:pStyle w:val="9"/>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isplayHorizontalDrawingGridEvery w:val="1"/>
  <w:displayVerticalDrawingGridEvery w:val="1"/>
  <w:noPunctuationKerning w:val="1"/>
  <w:characterSpacingControl w:val="doNotCompress"/>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g3YjFmYTliNzE4M2JjOTJhZTFiYmNiMzQxN2VjMzEifQ=="/>
    <w:docVar w:name="KSO_WPS_MARK_KEY" w:val="90f9029d-1686-4b0b-add7-2e4a43452d34"/>
  </w:docVars>
  <w:rsids>
    <w:rsidRoot w:val="00957750"/>
    <w:rsid w:val="000066C8"/>
    <w:rsid w:val="00015BC9"/>
    <w:rsid w:val="00023073"/>
    <w:rsid w:val="00034587"/>
    <w:rsid w:val="00035884"/>
    <w:rsid w:val="000620AB"/>
    <w:rsid w:val="00082A90"/>
    <w:rsid w:val="000A185B"/>
    <w:rsid w:val="000A7304"/>
    <w:rsid w:val="000B22DF"/>
    <w:rsid w:val="000C3170"/>
    <w:rsid w:val="000C6249"/>
    <w:rsid w:val="000C7FF5"/>
    <w:rsid w:val="000D00C6"/>
    <w:rsid w:val="000E45E0"/>
    <w:rsid w:val="00124093"/>
    <w:rsid w:val="00143D9F"/>
    <w:rsid w:val="00166FC4"/>
    <w:rsid w:val="00190124"/>
    <w:rsid w:val="001A5546"/>
    <w:rsid w:val="001B5766"/>
    <w:rsid w:val="001B7764"/>
    <w:rsid w:val="001D00BE"/>
    <w:rsid w:val="00207580"/>
    <w:rsid w:val="00224B13"/>
    <w:rsid w:val="0023670E"/>
    <w:rsid w:val="002402D9"/>
    <w:rsid w:val="0024035E"/>
    <w:rsid w:val="00274FDA"/>
    <w:rsid w:val="0028634F"/>
    <w:rsid w:val="00291C9A"/>
    <w:rsid w:val="002A723F"/>
    <w:rsid w:val="002D1321"/>
    <w:rsid w:val="002E4536"/>
    <w:rsid w:val="002E572C"/>
    <w:rsid w:val="00301E65"/>
    <w:rsid w:val="0035261C"/>
    <w:rsid w:val="0035303D"/>
    <w:rsid w:val="0039022F"/>
    <w:rsid w:val="003928B8"/>
    <w:rsid w:val="003B6C45"/>
    <w:rsid w:val="003D0107"/>
    <w:rsid w:val="003E286F"/>
    <w:rsid w:val="004004D0"/>
    <w:rsid w:val="00406132"/>
    <w:rsid w:val="00431D3D"/>
    <w:rsid w:val="004435C2"/>
    <w:rsid w:val="00465788"/>
    <w:rsid w:val="0049077C"/>
    <w:rsid w:val="004947ED"/>
    <w:rsid w:val="004B3069"/>
    <w:rsid w:val="004C105C"/>
    <w:rsid w:val="004C1975"/>
    <w:rsid w:val="004E0060"/>
    <w:rsid w:val="004E788A"/>
    <w:rsid w:val="004F07E5"/>
    <w:rsid w:val="00520092"/>
    <w:rsid w:val="005324F9"/>
    <w:rsid w:val="00535DFC"/>
    <w:rsid w:val="00540599"/>
    <w:rsid w:val="005635AB"/>
    <w:rsid w:val="00564334"/>
    <w:rsid w:val="00577448"/>
    <w:rsid w:val="005A787A"/>
    <w:rsid w:val="005B0012"/>
    <w:rsid w:val="005C6ADC"/>
    <w:rsid w:val="005E4520"/>
    <w:rsid w:val="005E479B"/>
    <w:rsid w:val="00647E01"/>
    <w:rsid w:val="006740E0"/>
    <w:rsid w:val="00690EC8"/>
    <w:rsid w:val="006C4C10"/>
    <w:rsid w:val="006D69DD"/>
    <w:rsid w:val="006E632B"/>
    <w:rsid w:val="006F1EB5"/>
    <w:rsid w:val="006F53BD"/>
    <w:rsid w:val="00721BDD"/>
    <w:rsid w:val="007239CF"/>
    <w:rsid w:val="00733952"/>
    <w:rsid w:val="00753786"/>
    <w:rsid w:val="0076495D"/>
    <w:rsid w:val="00785792"/>
    <w:rsid w:val="00793B43"/>
    <w:rsid w:val="007B3456"/>
    <w:rsid w:val="007B3DC9"/>
    <w:rsid w:val="007C0A91"/>
    <w:rsid w:val="007D1FDD"/>
    <w:rsid w:val="00815068"/>
    <w:rsid w:val="008154BC"/>
    <w:rsid w:val="00815F41"/>
    <w:rsid w:val="00831094"/>
    <w:rsid w:val="00832A28"/>
    <w:rsid w:val="0084330F"/>
    <w:rsid w:val="00853CAC"/>
    <w:rsid w:val="008642B9"/>
    <w:rsid w:val="008758D0"/>
    <w:rsid w:val="008B1EA8"/>
    <w:rsid w:val="008C6DCC"/>
    <w:rsid w:val="008D4EE8"/>
    <w:rsid w:val="008F2B1D"/>
    <w:rsid w:val="00915015"/>
    <w:rsid w:val="00925B98"/>
    <w:rsid w:val="00930FD3"/>
    <w:rsid w:val="00954A2A"/>
    <w:rsid w:val="00957750"/>
    <w:rsid w:val="009A2EAE"/>
    <w:rsid w:val="009B0760"/>
    <w:rsid w:val="009B22C1"/>
    <w:rsid w:val="009B6118"/>
    <w:rsid w:val="009C2DDB"/>
    <w:rsid w:val="009C41A8"/>
    <w:rsid w:val="009D0557"/>
    <w:rsid w:val="009D0EA3"/>
    <w:rsid w:val="009D6FDC"/>
    <w:rsid w:val="009F269A"/>
    <w:rsid w:val="00A3601F"/>
    <w:rsid w:val="00A66686"/>
    <w:rsid w:val="00A66EE9"/>
    <w:rsid w:val="00A71822"/>
    <w:rsid w:val="00A7379D"/>
    <w:rsid w:val="00A73E2F"/>
    <w:rsid w:val="00A80B76"/>
    <w:rsid w:val="00A95FE9"/>
    <w:rsid w:val="00AA2B91"/>
    <w:rsid w:val="00AD7338"/>
    <w:rsid w:val="00B11A34"/>
    <w:rsid w:val="00B46918"/>
    <w:rsid w:val="00B93F2F"/>
    <w:rsid w:val="00BA3803"/>
    <w:rsid w:val="00BA5074"/>
    <w:rsid w:val="00BA5139"/>
    <w:rsid w:val="00BD4DB6"/>
    <w:rsid w:val="00BD6CA7"/>
    <w:rsid w:val="00C22A20"/>
    <w:rsid w:val="00C31512"/>
    <w:rsid w:val="00C570CF"/>
    <w:rsid w:val="00C60350"/>
    <w:rsid w:val="00C6281A"/>
    <w:rsid w:val="00C713DF"/>
    <w:rsid w:val="00C77BA7"/>
    <w:rsid w:val="00CD25F9"/>
    <w:rsid w:val="00CE4983"/>
    <w:rsid w:val="00CE75C5"/>
    <w:rsid w:val="00CF0DA0"/>
    <w:rsid w:val="00CF2932"/>
    <w:rsid w:val="00D05A6D"/>
    <w:rsid w:val="00D2527F"/>
    <w:rsid w:val="00D77544"/>
    <w:rsid w:val="00D86B80"/>
    <w:rsid w:val="00DE5B9C"/>
    <w:rsid w:val="00E37675"/>
    <w:rsid w:val="00E62F24"/>
    <w:rsid w:val="00E85251"/>
    <w:rsid w:val="00E95B73"/>
    <w:rsid w:val="00EA51F0"/>
    <w:rsid w:val="00EC4E30"/>
    <w:rsid w:val="00EE470D"/>
    <w:rsid w:val="00EF6AB5"/>
    <w:rsid w:val="00F00C05"/>
    <w:rsid w:val="00F1124E"/>
    <w:rsid w:val="00F17740"/>
    <w:rsid w:val="00F209C5"/>
    <w:rsid w:val="00F27D75"/>
    <w:rsid w:val="00F34BF7"/>
    <w:rsid w:val="00F44645"/>
    <w:rsid w:val="00F554C3"/>
    <w:rsid w:val="00F673D2"/>
    <w:rsid w:val="00F67404"/>
    <w:rsid w:val="00F72D2C"/>
    <w:rsid w:val="00F7615E"/>
    <w:rsid w:val="00F82AD1"/>
    <w:rsid w:val="00FA425F"/>
    <w:rsid w:val="00FB6D6A"/>
    <w:rsid w:val="00FC1CD0"/>
    <w:rsid w:val="00FE4037"/>
    <w:rsid w:val="01282E62"/>
    <w:rsid w:val="01453A14"/>
    <w:rsid w:val="015A3576"/>
    <w:rsid w:val="015B6D94"/>
    <w:rsid w:val="016320EC"/>
    <w:rsid w:val="01787946"/>
    <w:rsid w:val="01A249C3"/>
    <w:rsid w:val="01D152A8"/>
    <w:rsid w:val="01E7687A"/>
    <w:rsid w:val="020A35B3"/>
    <w:rsid w:val="020E2058"/>
    <w:rsid w:val="021D229B"/>
    <w:rsid w:val="022215DD"/>
    <w:rsid w:val="02443CCC"/>
    <w:rsid w:val="0261662C"/>
    <w:rsid w:val="026779BA"/>
    <w:rsid w:val="026C5261"/>
    <w:rsid w:val="02902A6D"/>
    <w:rsid w:val="02B96468"/>
    <w:rsid w:val="02CD36F4"/>
    <w:rsid w:val="02E828A9"/>
    <w:rsid w:val="02F2197A"/>
    <w:rsid w:val="02FC45A7"/>
    <w:rsid w:val="0301396B"/>
    <w:rsid w:val="0317318F"/>
    <w:rsid w:val="033755DF"/>
    <w:rsid w:val="038D3451"/>
    <w:rsid w:val="03991DF6"/>
    <w:rsid w:val="03CA0201"/>
    <w:rsid w:val="03CA6453"/>
    <w:rsid w:val="03CF3A69"/>
    <w:rsid w:val="03E94B2B"/>
    <w:rsid w:val="03F4702C"/>
    <w:rsid w:val="04073A28"/>
    <w:rsid w:val="042E69E2"/>
    <w:rsid w:val="043D4E77"/>
    <w:rsid w:val="04620439"/>
    <w:rsid w:val="04974587"/>
    <w:rsid w:val="04D1736D"/>
    <w:rsid w:val="04F05A45"/>
    <w:rsid w:val="04F9561C"/>
    <w:rsid w:val="050140F6"/>
    <w:rsid w:val="05031C1C"/>
    <w:rsid w:val="052F2A11"/>
    <w:rsid w:val="052F5AAA"/>
    <w:rsid w:val="054A15F9"/>
    <w:rsid w:val="05571F68"/>
    <w:rsid w:val="05B253F0"/>
    <w:rsid w:val="05B60A3D"/>
    <w:rsid w:val="05EA4B8A"/>
    <w:rsid w:val="05F475D8"/>
    <w:rsid w:val="060D2627"/>
    <w:rsid w:val="06147E59"/>
    <w:rsid w:val="064F2C3F"/>
    <w:rsid w:val="07230354"/>
    <w:rsid w:val="077706A0"/>
    <w:rsid w:val="0792258C"/>
    <w:rsid w:val="07A910C8"/>
    <w:rsid w:val="07C51AFC"/>
    <w:rsid w:val="07EA0E72"/>
    <w:rsid w:val="0891753F"/>
    <w:rsid w:val="08C10B92"/>
    <w:rsid w:val="08CC4C0B"/>
    <w:rsid w:val="08CE609D"/>
    <w:rsid w:val="08F16230"/>
    <w:rsid w:val="092E5CC6"/>
    <w:rsid w:val="09554A11"/>
    <w:rsid w:val="096864F2"/>
    <w:rsid w:val="096F5AD2"/>
    <w:rsid w:val="098133B4"/>
    <w:rsid w:val="09C63218"/>
    <w:rsid w:val="09CB0AC4"/>
    <w:rsid w:val="09CF031F"/>
    <w:rsid w:val="09D41DD9"/>
    <w:rsid w:val="09DE0562"/>
    <w:rsid w:val="0A540824"/>
    <w:rsid w:val="0A7B6EF7"/>
    <w:rsid w:val="0A9D020A"/>
    <w:rsid w:val="0AC51722"/>
    <w:rsid w:val="0ACA6D38"/>
    <w:rsid w:val="0AD8531C"/>
    <w:rsid w:val="0B1306DF"/>
    <w:rsid w:val="0B17653B"/>
    <w:rsid w:val="0B1D50BA"/>
    <w:rsid w:val="0B661144"/>
    <w:rsid w:val="0BB35A1E"/>
    <w:rsid w:val="0BC55E54"/>
    <w:rsid w:val="0BDF6813"/>
    <w:rsid w:val="0BED0F30"/>
    <w:rsid w:val="0BF422BF"/>
    <w:rsid w:val="0C25691C"/>
    <w:rsid w:val="0C4A6383"/>
    <w:rsid w:val="0C9475FE"/>
    <w:rsid w:val="0CA830A9"/>
    <w:rsid w:val="0CD520F0"/>
    <w:rsid w:val="0CDD2D53"/>
    <w:rsid w:val="0CE642FD"/>
    <w:rsid w:val="0CF63E15"/>
    <w:rsid w:val="0CFE6E71"/>
    <w:rsid w:val="0D053F57"/>
    <w:rsid w:val="0D076022"/>
    <w:rsid w:val="0D0F0D92"/>
    <w:rsid w:val="0D4C7ED9"/>
    <w:rsid w:val="0D5013A6"/>
    <w:rsid w:val="0D51729D"/>
    <w:rsid w:val="0D7116DD"/>
    <w:rsid w:val="0DA9532B"/>
    <w:rsid w:val="0DBF06AB"/>
    <w:rsid w:val="0DC108C7"/>
    <w:rsid w:val="0DC21F49"/>
    <w:rsid w:val="0DD24882"/>
    <w:rsid w:val="0DE3083D"/>
    <w:rsid w:val="0E0013EF"/>
    <w:rsid w:val="0E1E7AC7"/>
    <w:rsid w:val="0E344BF5"/>
    <w:rsid w:val="0E5C239D"/>
    <w:rsid w:val="0E715E49"/>
    <w:rsid w:val="0E9B42D5"/>
    <w:rsid w:val="0EAE0E4B"/>
    <w:rsid w:val="0EF32D02"/>
    <w:rsid w:val="0EF95E3E"/>
    <w:rsid w:val="0F052A35"/>
    <w:rsid w:val="0F1862C4"/>
    <w:rsid w:val="0F3375A2"/>
    <w:rsid w:val="0F4A0448"/>
    <w:rsid w:val="0F711E78"/>
    <w:rsid w:val="0FE4264A"/>
    <w:rsid w:val="0FE95EB3"/>
    <w:rsid w:val="101E2C5F"/>
    <w:rsid w:val="10313844"/>
    <w:rsid w:val="108A2001"/>
    <w:rsid w:val="10993435"/>
    <w:rsid w:val="111331E7"/>
    <w:rsid w:val="111377D2"/>
    <w:rsid w:val="11301FEB"/>
    <w:rsid w:val="115E01DA"/>
    <w:rsid w:val="117B0D8C"/>
    <w:rsid w:val="11BB562D"/>
    <w:rsid w:val="11CC783A"/>
    <w:rsid w:val="11D010D8"/>
    <w:rsid w:val="11F36B75"/>
    <w:rsid w:val="121543C9"/>
    <w:rsid w:val="12323B41"/>
    <w:rsid w:val="126A32DB"/>
    <w:rsid w:val="12902616"/>
    <w:rsid w:val="12C32F26"/>
    <w:rsid w:val="13255454"/>
    <w:rsid w:val="13763F01"/>
    <w:rsid w:val="13C44C6D"/>
    <w:rsid w:val="13FD1F2D"/>
    <w:rsid w:val="14125E20"/>
    <w:rsid w:val="14186D67"/>
    <w:rsid w:val="14327E28"/>
    <w:rsid w:val="1433594E"/>
    <w:rsid w:val="14667AD2"/>
    <w:rsid w:val="149A3C1F"/>
    <w:rsid w:val="149A59CD"/>
    <w:rsid w:val="14A01236"/>
    <w:rsid w:val="14BA7E1E"/>
    <w:rsid w:val="14BE4D00"/>
    <w:rsid w:val="14C34F24"/>
    <w:rsid w:val="14E248D3"/>
    <w:rsid w:val="14E31122"/>
    <w:rsid w:val="14EF5D19"/>
    <w:rsid w:val="155B6F0B"/>
    <w:rsid w:val="156009C5"/>
    <w:rsid w:val="15714980"/>
    <w:rsid w:val="1589308C"/>
    <w:rsid w:val="15B86DCA"/>
    <w:rsid w:val="15C251DC"/>
    <w:rsid w:val="15D14279"/>
    <w:rsid w:val="15E2762C"/>
    <w:rsid w:val="16353C00"/>
    <w:rsid w:val="16481B85"/>
    <w:rsid w:val="1695469E"/>
    <w:rsid w:val="171952CF"/>
    <w:rsid w:val="173B5246"/>
    <w:rsid w:val="1760327D"/>
    <w:rsid w:val="17836BED"/>
    <w:rsid w:val="17854713"/>
    <w:rsid w:val="17BA0860"/>
    <w:rsid w:val="17F13B56"/>
    <w:rsid w:val="181025BF"/>
    <w:rsid w:val="183F48C2"/>
    <w:rsid w:val="185F0B12"/>
    <w:rsid w:val="18A706B9"/>
    <w:rsid w:val="18CD6371"/>
    <w:rsid w:val="18CE20EA"/>
    <w:rsid w:val="18DF135F"/>
    <w:rsid w:val="18FB707E"/>
    <w:rsid w:val="19120228"/>
    <w:rsid w:val="19A75624"/>
    <w:rsid w:val="19B525C4"/>
    <w:rsid w:val="1A321CBD"/>
    <w:rsid w:val="1A5328A6"/>
    <w:rsid w:val="1A646862"/>
    <w:rsid w:val="1AB570BD"/>
    <w:rsid w:val="1ABC044C"/>
    <w:rsid w:val="1AC63078"/>
    <w:rsid w:val="1AC77717"/>
    <w:rsid w:val="1AD87250"/>
    <w:rsid w:val="1ADA571C"/>
    <w:rsid w:val="1AEE0821"/>
    <w:rsid w:val="1AFA66D4"/>
    <w:rsid w:val="1B2F50C2"/>
    <w:rsid w:val="1B55264E"/>
    <w:rsid w:val="1B6D7998"/>
    <w:rsid w:val="1B7B0307"/>
    <w:rsid w:val="1BC81072"/>
    <w:rsid w:val="1BF47E2A"/>
    <w:rsid w:val="1C145AD5"/>
    <w:rsid w:val="1C2F10F1"/>
    <w:rsid w:val="1C5426FA"/>
    <w:rsid w:val="1C874A89"/>
    <w:rsid w:val="1C9121E5"/>
    <w:rsid w:val="1C9553F8"/>
    <w:rsid w:val="1CAB5AF6"/>
    <w:rsid w:val="1CC96E50"/>
    <w:rsid w:val="1CD86382"/>
    <w:rsid w:val="1D0936F0"/>
    <w:rsid w:val="1D1E53EE"/>
    <w:rsid w:val="1D3A1AFC"/>
    <w:rsid w:val="1D3C0749"/>
    <w:rsid w:val="1D3E15EC"/>
    <w:rsid w:val="1D7C2114"/>
    <w:rsid w:val="1D7E40DE"/>
    <w:rsid w:val="1D884F5D"/>
    <w:rsid w:val="1D9531D6"/>
    <w:rsid w:val="1D9C27B6"/>
    <w:rsid w:val="1DA17DCD"/>
    <w:rsid w:val="1DAF6046"/>
    <w:rsid w:val="1DC835AB"/>
    <w:rsid w:val="1E2527AC"/>
    <w:rsid w:val="1E3649B9"/>
    <w:rsid w:val="1E9021D3"/>
    <w:rsid w:val="1EB15DEE"/>
    <w:rsid w:val="1EB92499"/>
    <w:rsid w:val="1EE95587"/>
    <w:rsid w:val="1EEE7112"/>
    <w:rsid w:val="1EFD2558"/>
    <w:rsid w:val="1EFD7285"/>
    <w:rsid w:val="1F122D30"/>
    <w:rsid w:val="1F75506D"/>
    <w:rsid w:val="1FA140B4"/>
    <w:rsid w:val="1FB21E1D"/>
    <w:rsid w:val="1FC64343"/>
    <w:rsid w:val="1FDF698A"/>
    <w:rsid w:val="1FE91D68"/>
    <w:rsid w:val="1FF468DA"/>
    <w:rsid w:val="201A4426"/>
    <w:rsid w:val="20256A93"/>
    <w:rsid w:val="20410142"/>
    <w:rsid w:val="20765541"/>
    <w:rsid w:val="20790B8D"/>
    <w:rsid w:val="208D63E6"/>
    <w:rsid w:val="2099122F"/>
    <w:rsid w:val="2110329F"/>
    <w:rsid w:val="21674E89"/>
    <w:rsid w:val="21690C01"/>
    <w:rsid w:val="218E2416"/>
    <w:rsid w:val="21C46106"/>
    <w:rsid w:val="21D06ED2"/>
    <w:rsid w:val="21E87D78"/>
    <w:rsid w:val="21F7445F"/>
    <w:rsid w:val="21FE759C"/>
    <w:rsid w:val="22192627"/>
    <w:rsid w:val="22561186"/>
    <w:rsid w:val="22590C76"/>
    <w:rsid w:val="22877591"/>
    <w:rsid w:val="228C104B"/>
    <w:rsid w:val="22A068A5"/>
    <w:rsid w:val="22B45EAC"/>
    <w:rsid w:val="22B91715"/>
    <w:rsid w:val="22BA5BB9"/>
    <w:rsid w:val="22C32593"/>
    <w:rsid w:val="22E70030"/>
    <w:rsid w:val="232606A5"/>
    <w:rsid w:val="23270D74"/>
    <w:rsid w:val="23607DE2"/>
    <w:rsid w:val="237D0994"/>
    <w:rsid w:val="238166D6"/>
    <w:rsid w:val="2392443F"/>
    <w:rsid w:val="23953F30"/>
    <w:rsid w:val="23A105E9"/>
    <w:rsid w:val="23AE6D9F"/>
    <w:rsid w:val="23B5012E"/>
    <w:rsid w:val="23B91366"/>
    <w:rsid w:val="23C36519"/>
    <w:rsid w:val="23D3133D"/>
    <w:rsid w:val="23D700A4"/>
    <w:rsid w:val="23F70746"/>
    <w:rsid w:val="240D3AC6"/>
    <w:rsid w:val="24516CBE"/>
    <w:rsid w:val="247C6164"/>
    <w:rsid w:val="24D9609E"/>
    <w:rsid w:val="24EF7670"/>
    <w:rsid w:val="24F353B2"/>
    <w:rsid w:val="254C4AC2"/>
    <w:rsid w:val="25981AB5"/>
    <w:rsid w:val="259F4BF2"/>
    <w:rsid w:val="25BE7507"/>
    <w:rsid w:val="25CE197B"/>
    <w:rsid w:val="25E153D4"/>
    <w:rsid w:val="25E60A73"/>
    <w:rsid w:val="25F018F1"/>
    <w:rsid w:val="25F74A2E"/>
    <w:rsid w:val="260F621B"/>
    <w:rsid w:val="261C4494"/>
    <w:rsid w:val="2623001B"/>
    <w:rsid w:val="26612D6B"/>
    <w:rsid w:val="26834513"/>
    <w:rsid w:val="26AA1AA0"/>
    <w:rsid w:val="26AC3A6A"/>
    <w:rsid w:val="27082C6B"/>
    <w:rsid w:val="27541A0C"/>
    <w:rsid w:val="27767BD4"/>
    <w:rsid w:val="2791749C"/>
    <w:rsid w:val="27B5694E"/>
    <w:rsid w:val="27D03788"/>
    <w:rsid w:val="27DC6AB6"/>
    <w:rsid w:val="27DF39CB"/>
    <w:rsid w:val="27F427FC"/>
    <w:rsid w:val="281D44F4"/>
    <w:rsid w:val="28302479"/>
    <w:rsid w:val="284A74CB"/>
    <w:rsid w:val="285C501C"/>
    <w:rsid w:val="28852C5D"/>
    <w:rsid w:val="28A864EB"/>
    <w:rsid w:val="28AF339E"/>
    <w:rsid w:val="28ED2118"/>
    <w:rsid w:val="290556B4"/>
    <w:rsid w:val="29064F88"/>
    <w:rsid w:val="291476A5"/>
    <w:rsid w:val="292A6EC8"/>
    <w:rsid w:val="293533F8"/>
    <w:rsid w:val="293E0BC6"/>
    <w:rsid w:val="2940049A"/>
    <w:rsid w:val="295E53E0"/>
    <w:rsid w:val="29F36631"/>
    <w:rsid w:val="2A077209"/>
    <w:rsid w:val="2A081A28"/>
    <w:rsid w:val="2A12304A"/>
    <w:rsid w:val="2A1262DA"/>
    <w:rsid w:val="2A2B2EF8"/>
    <w:rsid w:val="2A3D0E7D"/>
    <w:rsid w:val="2A7A3E7F"/>
    <w:rsid w:val="2A7D0899"/>
    <w:rsid w:val="2A8F2795"/>
    <w:rsid w:val="2AAA4765"/>
    <w:rsid w:val="2B1716CE"/>
    <w:rsid w:val="2B2D4A4E"/>
    <w:rsid w:val="2B7B1C5D"/>
    <w:rsid w:val="2BB138D1"/>
    <w:rsid w:val="2C1B33C6"/>
    <w:rsid w:val="2C646D6B"/>
    <w:rsid w:val="2C7C5C8D"/>
    <w:rsid w:val="2C7C7A3B"/>
    <w:rsid w:val="2CD04D8C"/>
    <w:rsid w:val="2CD72C54"/>
    <w:rsid w:val="2CE657FC"/>
    <w:rsid w:val="2CFD0E66"/>
    <w:rsid w:val="2D0143E4"/>
    <w:rsid w:val="2D173C07"/>
    <w:rsid w:val="2D287BC3"/>
    <w:rsid w:val="2D336E93"/>
    <w:rsid w:val="2D430559"/>
    <w:rsid w:val="2D4744ED"/>
    <w:rsid w:val="2D662499"/>
    <w:rsid w:val="2D9214E0"/>
    <w:rsid w:val="2DC84F02"/>
    <w:rsid w:val="2DEC0BF0"/>
    <w:rsid w:val="2E25003C"/>
    <w:rsid w:val="2E61338C"/>
    <w:rsid w:val="2E7806D6"/>
    <w:rsid w:val="2EB84F76"/>
    <w:rsid w:val="2EE31FF3"/>
    <w:rsid w:val="2F184319"/>
    <w:rsid w:val="2F1C5505"/>
    <w:rsid w:val="2F212B1B"/>
    <w:rsid w:val="2F4F7689"/>
    <w:rsid w:val="2F53150D"/>
    <w:rsid w:val="2F6649D2"/>
    <w:rsid w:val="2F8A08CC"/>
    <w:rsid w:val="2FAF0127"/>
    <w:rsid w:val="3011493E"/>
    <w:rsid w:val="31093867"/>
    <w:rsid w:val="3126266B"/>
    <w:rsid w:val="317433D6"/>
    <w:rsid w:val="317E6003"/>
    <w:rsid w:val="31C14142"/>
    <w:rsid w:val="31DE4CF4"/>
    <w:rsid w:val="31E56082"/>
    <w:rsid w:val="32171FB4"/>
    <w:rsid w:val="32330457"/>
    <w:rsid w:val="32384404"/>
    <w:rsid w:val="324253F3"/>
    <w:rsid w:val="32717916"/>
    <w:rsid w:val="32E97DF4"/>
    <w:rsid w:val="33174961"/>
    <w:rsid w:val="331A77C2"/>
    <w:rsid w:val="33753436"/>
    <w:rsid w:val="337C47C4"/>
    <w:rsid w:val="33865643"/>
    <w:rsid w:val="339733AC"/>
    <w:rsid w:val="339C09C3"/>
    <w:rsid w:val="33A44776"/>
    <w:rsid w:val="342E43C9"/>
    <w:rsid w:val="344F3C87"/>
    <w:rsid w:val="34594B05"/>
    <w:rsid w:val="347553BB"/>
    <w:rsid w:val="34874DDA"/>
    <w:rsid w:val="34983880"/>
    <w:rsid w:val="34DD2F25"/>
    <w:rsid w:val="35076310"/>
    <w:rsid w:val="35867B7C"/>
    <w:rsid w:val="358B5193"/>
    <w:rsid w:val="360A0F8C"/>
    <w:rsid w:val="36525CB0"/>
    <w:rsid w:val="36B10C29"/>
    <w:rsid w:val="36D13079"/>
    <w:rsid w:val="36D773DE"/>
    <w:rsid w:val="36E27034"/>
    <w:rsid w:val="36E96615"/>
    <w:rsid w:val="36FF1994"/>
    <w:rsid w:val="37276905"/>
    <w:rsid w:val="373972A7"/>
    <w:rsid w:val="374B4BD9"/>
    <w:rsid w:val="37585548"/>
    <w:rsid w:val="375C0B95"/>
    <w:rsid w:val="375D66BB"/>
    <w:rsid w:val="376A0DBC"/>
    <w:rsid w:val="378B3228"/>
    <w:rsid w:val="379E11AD"/>
    <w:rsid w:val="37A92409"/>
    <w:rsid w:val="37B81B43"/>
    <w:rsid w:val="37D70054"/>
    <w:rsid w:val="37E56DDC"/>
    <w:rsid w:val="37EE2BEA"/>
    <w:rsid w:val="383E7EED"/>
    <w:rsid w:val="3857135C"/>
    <w:rsid w:val="38581532"/>
    <w:rsid w:val="38A722E3"/>
    <w:rsid w:val="38A74091"/>
    <w:rsid w:val="38EE7F12"/>
    <w:rsid w:val="39006C13"/>
    <w:rsid w:val="390B0AC4"/>
    <w:rsid w:val="392E4F96"/>
    <w:rsid w:val="39A00A71"/>
    <w:rsid w:val="39DE1D35"/>
    <w:rsid w:val="39E11825"/>
    <w:rsid w:val="39F17B00"/>
    <w:rsid w:val="3A101C63"/>
    <w:rsid w:val="3A1930EC"/>
    <w:rsid w:val="3A345DF9"/>
    <w:rsid w:val="3A563FC1"/>
    <w:rsid w:val="3A72247D"/>
    <w:rsid w:val="3A946897"/>
    <w:rsid w:val="3AA765CB"/>
    <w:rsid w:val="3AF37A62"/>
    <w:rsid w:val="3B9B4367"/>
    <w:rsid w:val="3BAB1079"/>
    <w:rsid w:val="3BD333EF"/>
    <w:rsid w:val="3C2F484C"/>
    <w:rsid w:val="3C3420E0"/>
    <w:rsid w:val="3C5207B8"/>
    <w:rsid w:val="3C8C1F1C"/>
    <w:rsid w:val="3CA60B04"/>
    <w:rsid w:val="3CD15B81"/>
    <w:rsid w:val="3CD4741F"/>
    <w:rsid w:val="3CDB07AE"/>
    <w:rsid w:val="3CDB255C"/>
    <w:rsid w:val="3CEF4259"/>
    <w:rsid w:val="3D17730C"/>
    <w:rsid w:val="3D4A5933"/>
    <w:rsid w:val="3D583BAC"/>
    <w:rsid w:val="3D713FBF"/>
    <w:rsid w:val="3DCC0E9C"/>
    <w:rsid w:val="3DDB658B"/>
    <w:rsid w:val="3DF15DAF"/>
    <w:rsid w:val="3DF7373D"/>
    <w:rsid w:val="3E03671E"/>
    <w:rsid w:val="3E1F46CA"/>
    <w:rsid w:val="3E444130"/>
    <w:rsid w:val="3E5A1BA6"/>
    <w:rsid w:val="3EE55913"/>
    <w:rsid w:val="3F2200A2"/>
    <w:rsid w:val="3F275F2C"/>
    <w:rsid w:val="3F8F587F"/>
    <w:rsid w:val="3F8F597B"/>
    <w:rsid w:val="3FA94B93"/>
    <w:rsid w:val="3FE91433"/>
    <w:rsid w:val="402E5098"/>
    <w:rsid w:val="403703F1"/>
    <w:rsid w:val="41173D7E"/>
    <w:rsid w:val="41490391"/>
    <w:rsid w:val="41831414"/>
    <w:rsid w:val="41986C6D"/>
    <w:rsid w:val="41A27AEC"/>
    <w:rsid w:val="41C2018E"/>
    <w:rsid w:val="41C850AD"/>
    <w:rsid w:val="41FF0A9A"/>
    <w:rsid w:val="42366486"/>
    <w:rsid w:val="42424E2B"/>
    <w:rsid w:val="425D3A13"/>
    <w:rsid w:val="43106CD7"/>
    <w:rsid w:val="431D1023"/>
    <w:rsid w:val="433611E6"/>
    <w:rsid w:val="435C1F1C"/>
    <w:rsid w:val="43882D11"/>
    <w:rsid w:val="438C2802"/>
    <w:rsid w:val="43963680"/>
    <w:rsid w:val="43B9111D"/>
    <w:rsid w:val="446A0634"/>
    <w:rsid w:val="44A678F3"/>
    <w:rsid w:val="44B33DBE"/>
    <w:rsid w:val="44C23E37"/>
    <w:rsid w:val="44F901B8"/>
    <w:rsid w:val="45101210"/>
    <w:rsid w:val="454A762F"/>
    <w:rsid w:val="458E4869"/>
    <w:rsid w:val="45B21B65"/>
    <w:rsid w:val="46144D30"/>
    <w:rsid w:val="462C207A"/>
    <w:rsid w:val="465670F7"/>
    <w:rsid w:val="467D0B27"/>
    <w:rsid w:val="46850D20"/>
    <w:rsid w:val="46A012BC"/>
    <w:rsid w:val="46B53E1D"/>
    <w:rsid w:val="46B75F04"/>
    <w:rsid w:val="46C17060"/>
    <w:rsid w:val="46E841F3"/>
    <w:rsid w:val="47084895"/>
    <w:rsid w:val="472878AD"/>
    <w:rsid w:val="472B40E0"/>
    <w:rsid w:val="47775577"/>
    <w:rsid w:val="477C19D0"/>
    <w:rsid w:val="47863E5A"/>
    <w:rsid w:val="48515DC8"/>
    <w:rsid w:val="48535EE5"/>
    <w:rsid w:val="489108BA"/>
    <w:rsid w:val="48BF0F83"/>
    <w:rsid w:val="48C55FA1"/>
    <w:rsid w:val="49025314"/>
    <w:rsid w:val="490E4D31"/>
    <w:rsid w:val="49117305"/>
    <w:rsid w:val="49284D7B"/>
    <w:rsid w:val="492C1D2E"/>
    <w:rsid w:val="49374FBE"/>
    <w:rsid w:val="499B342D"/>
    <w:rsid w:val="49AD0F5D"/>
    <w:rsid w:val="49CB3958"/>
    <w:rsid w:val="4A154318"/>
    <w:rsid w:val="4A4A0D21"/>
    <w:rsid w:val="4A6C513B"/>
    <w:rsid w:val="4A7E09CA"/>
    <w:rsid w:val="4A7F4E6E"/>
    <w:rsid w:val="4A963F66"/>
    <w:rsid w:val="4AAC19DB"/>
    <w:rsid w:val="4AEE5B50"/>
    <w:rsid w:val="4B005883"/>
    <w:rsid w:val="4B524331"/>
    <w:rsid w:val="4BA44460"/>
    <w:rsid w:val="4BB548C0"/>
    <w:rsid w:val="4BCD7E5B"/>
    <w:rsid w:val="4BD74334"/>
    <w:rsid w:val="4C2F6420"/>
    <w:rsid w:val="4C3025F1"/>
    <w:rsid w:val="4C3E48B5"/>
    <w:rsid w:val="4C602A7D"/>
    <w:rsid w:val="4C806C7C"/>
    <w:rsid w:val="4C9E5354"/>
    <w:rsid w:val="4CF520D9"/>
    <w:rsid w:val="4D0F7FFF"/>
    <w:rsid w:val="4D16138E"/>
    <w:rsid w:val="4D3857A8"/>
    <w:rsid w:val="4D8409ED"/>
    <w:rsid w:val="4D8E361A"/>
    <w:rsid w:val="4D8E53C8"/>
    <w:rsid w:val="4DBC1F35"/>
    <w:rsid w:val="4DBF37D4"/>
    <w:rsid w:val="4DC1579E"/>
    <w:rsid w:val="4DCE3A17"/>
    <w:rsid w:val="4DF32302"/>
    <w:rsid w:val="4E176A6B"/>
    <w:rsid w:val="4E50267E"/>
    <w:rsid w:val="4E516B22"/>
    <w:rsid w:val="4E9C3BCC"/>
    <w:rsid w:val="4EF9194B"/>
    <w:rsid w:val="4F051490"/>
    <w:rsid w:val="4F251D5C"/>
    <w:rsid w:val="4F2A1121"/>
    <w:rsid w:val="4F3F510F"/>
    <w:rsid w:val="4F4544DC"/>
    <w:rsid w:val="4F5A37B4"/>
    <w:rsid w:val="4F7B6DCD"/>
    <w:rsid w:val="4F8151E4"/>
    <w:rsid w:val="4FAD6032"/>
    <w:rsid w:val="4FB947AA"/>
    <w:rsid w:val="4FBF5D0D"/>
    <w:rsid w:val="4FCE41A2"/>
    <w:rsid w:val="4FD21500"/>
    <w:rsid w:val="4FF359B6"/>
    <w:rsid w:val="4FF43C08"/>
    <w:rsid w:val="4FFD0EF1"/>
    <w:rsid w:val="500D6A78"/>
    <w:rsid w:val="50250266"/>
    <w:rsid w:val="50281B04"/>
    <w:rsid w:val="504F0E3F"/>
    <w:rsid w:val="50650662"/>
    <w:rsid w:val="50B74C36"/>
    <w:rsid w:val="51071719"/>
    <w:rsid w:val="510936E3"/>
    <w:rsid w:val="510D6018"/>
    <w:rsid w:val="510E0CFA"/>
    <w:rsid w:val="51172F9F"/>
    <w:rsid w:val="51271DBC"/>
    <w:rsid w:val="512C1180"/>
    <w:rsid w:val="513242BC"/>
    <w:rsid w:val="51695F30"/>
    <w:rsid w:val="51B82A14"/>
    <w:rsid w:val="51E1640E"/>
    <w:rsid w:val="51F55A16"/>
    <w:rsid w:val="51FF6894"/>
    <w:rsid w:val="5201257C"/>
    <w:rsid w:val="52311B45"/>
    <w:rsid w:val="52A336C4"/>
    <w:rsid w:val="52A66D10"/>
    <w:rsid w:val="52BD6456"/>
    <w:rsid w:val="52D95337"/>
    <w:rsid w:val="532760A3"/>
    <w:rsid w:val="533B1B4E"/>
    <w:rsid w:val="53486019"/>
    <w:rsid w:val="53591FD4"/>
    <w:rsid w:val="53683F40"/>
    <w:rsid w:val="536C0A8D"/>
    <w:rsid w:val="53894668"/>
    <w:rsid w:val="538A5F1E"/>
    <w:rsid w:val="539D601D"/>
    <w:rsid w:val="53E014AE"/>
    <w:rsid w:val="53E43F94"/>
    <w:rsid w:val="53E915AA"/>
    <w:rsid w:val="53F32429"/>
    <w:rsid w:val="54077C82"/>
    <w:rsid w:val="54751090"/>
    <w:rsid w:val="547F3CBD"/>
    <w:rsid w:val="54837309"/>
    <w:rsid w:val="549A28A4"/>
    <w:rsid w:val="54A75C14"/>
    <w:rsid w:val="54C05F9B"/>
    <w:rsid w:val="54C55B73"/>
    <w:rsid w:val="54D45DB6"/>
    <w:rsid w:val="54D71BBA"/>
    <w:rsid w:val="54F975CB"/>
    <w:rsid w:val="54FC530D"/>
    <w:rsid w:val="55061153"/>
    <w:rsid w:val="55A25EB5"/>
    <w:rsid w:val="55C71477"/>
    <w:rsid w:val="55C951EF"/>
    <w:rsid w:val="55E0078B"/>
    <w:rsid w:val="56024BA5"/>
    <w:rsid w:val="56026953"/>
    <w:rsid w:val="560C1580"/>
    <w:rsid w:val="56292132"/>
    <w:rsid w:val="56301712"/>
    <w:rsid w:val="56350AD7"/>
    <w:rsid w:val="564F2C2A"/>
    <w:rsid w:val="5686057B"/>
    <w:rsid w:val="569A4DDE"/>
    <w:rsid w:val="56AC3D25"/>
    <w:rsid w:val="56B0015D"/>
    <w:rsid w:val="56B7773E"/>
    <w:rsid w:val="56CF2CD9"/>
    <w:rsid w:val="57005821"/>
    <w:rsid w:val="571132F2"/>
    <w:rsid w:val="572B1EDA"/>
    <w:rsid w:val="57413F34"/>
    <w:rsid w:val="57527466"/>
    <w:rsid w:val="577675F9"/>
    <w:rsid w:val="57821FCB"/>
    <w:rsid w:val="579B2BBB"/>
    <w:rsid w:val="57DD31D4"/>
    <w:rsid w:val="57F81DBC"/>
    <w:rsid w:val="580C3AB9"/>
    <w:rsid w:val="5834469F"/>
    <w:rsid w:val="5838665C"/>
    <w:rsid w:val="583E407C"/>
    <w:rsid w:val="58676F42"/>
    <w:rsid w:val="5874422C"/>
    <w:rsid w:val="587527B8"/>
    <w:rsid w:val="58767185"/>
    <w:rsid w:val="58BA3515"/>
    <w:rsid w:val="596C4444"/>
    <w:rsid w:val="59736FAA"/>
    <w:rsid w:val="598D4786"/>
    <w:rsid w:val="59A87812"/>
    <w:rsid w:val="59F05E48"/>
    <w:rsid w:val="5A2040C5"/>
    <w:rsid w:val="5A311DCE"/>
    <w:rsid w:val="5A523253"/>
    <w:rsid w:val="5A932270"/>
    <w:rsid w:val="5AE42ACB"/>
    <w:rsid w:val="5AFA22EF"/>
    <w:rsid w:val="5B330AF2"/>
    <w:rsid w:val="5B4B2A39"/>
    <w:rsid w:val="5B537BA0"/>
    <w:rsid w:val="5B696D73"/>
    <w:rsid w:val="5B6B6D49"/>
    <w:rsid w:val="5B762D1A"/>
    <w:rsid w:val="5BAA7871"/>
    <w:rsid w:val="5BC270E1"/>
    <w:rsid w:val="5BCF63A9"/>
    <w:rsid w:val="5BE865EB"/>
    <w:rsid w:val="5C2A09B2"/>
    <w:rsid w:val="5C5B0B6B"/>
    <w:rsid w:val="5C6739B4"/>
    <w:rsid w:val="5C8456B0"/>
    <w:rsid w:val="5C983B6D"/>
    <w:rsid w:val="5CD252D1"/>
    <w:rsid w:val="5CE84C26"/>
    <w:rsid w:val="5D2C0F26"/>
    <w:rsid w:val="5D323FC2"/>
    <w:rsid w:val="5D3C6BEF"/>
    <w:rsid w:val="5D5C2DED"/>
    <w:rsid w:val="5D7D7BFC"/>
    <w:rsid w:val="5D861C18"/>
    <w:rsid w:val="5D9C58DF"/>
    <w:rsid w:val="5DAB167E"/>
    <w:rsid w:val="5DB04EE7"/>
    <w:rsid w:val="5DB22A0D"/>
    <w:rsid w:val="5DBE13B2"/>
    <w:rsid w:val="5DF43025"/>
    <w:rsid w:val="5E0314BA"/>
    <w:rsid w:val="5E0771FD"/>
    <w:rsid w:val="5E3616AF"/>
    <w:rsid w:val="5E5F0DE7"/>
    <w:rsid w:val="5E6463FD"/>
    <w:rsid w:val="5EAE1426"/>
    <w:rsid w:val="5EBA41F7"/>
    <w:rsid w:val="5ECE3876"/>
    <w:rsid w:val="5ED66BCF"/>
    <w:rsid w:val="5EDB19DD"/>
    <w:rsid w:val="5F0729D1"/>
    <w:rsid w:val="5F0D1F9D"/>
    <w:rsid w:val="5F225970"/>
    <w:rsid w:val="5F28205A"/>
    <w:rsid w:val="5F9D4346"/>
    <w:rsid w:val="5FBA204D"/>
    <w:rsid w:val="5FBF3369"/>
    <w:rsid w:val="5FE315A4"/>
    <w:rsid w:val="5FF84015"/>
    <w:rsid w:val="60145C01"/>
    <w:rsid w:val="60196D73"/>
    <w:rsid w:val="60396BAB"/>
    <w:rsid w:val="608E7761"/>
    <w:rsid w:val="60BB607C"/>
    <w:rsid w:val="60E05AE3"/>
    <w:rsid w:val="60F878A0"/>
    <w:rsid w:val="61434294"/>
    <w:rsid w:val="61532759"/>
    <w:rsid w:val="616404C2"/>
    <w:rsid w:val="618D5C6B"/>
    <w:rsid w:val="619D39D4"/>
    <w:rsid w:val="61E11B13"/>
    <w:rsid w:val="61EB2991"/>
    <w:rsid w:val="61FC06FB"/>
    <w:rsid w:val="620F6680"/>
    <w:rsid w:val="62395E08"/>
    <w:rsid w:val="6256605D"/>
    <w:rsid w:val="627604AD"/>
    <w:rsid w:val="62A0377C"/>
    <w:rsid w:val="62A96AD4"/>
    <w:rsid w:val="633B34A5"/>
    <w:rsid w:val="635822A8"/>
    <w:rsid w:val="638C3D00"/>
    <w:rsid w:val="638D1F52"/>
    <w:rsid w:val="63B53257"/>
    <w:rsid w:val="63CE60C7"/>
    <w:rsid w:val="641461CF"/>
    <w:rsid w:val="64153CF6"/>
    <w:rsid w:val="645C7B76"/>
    <w:rsid w:val="64630F05"/>
    <w:rsid w:val="650A1380"/>
    <w:rsid w:val="65420B1A"/>
    <w:rsid w:val="65654809"/>
    <w:rsid w:val="657D7000"/>
    <w:rsid w:val="65B57F02"/>
    <w:rsid w:val="65B65064"/>
    <w:rsid w:val="65E9543A"/>
    <w:rsid w:val="65ED1C09"/>
    <w:rsid w:val="65F63CF3"/>
    <w:rsid w:val="65FE0EE5"/>
    <w:rsid w:val="660E6C4E"/>
    <w:rsid w:val="66214BD4"/>
    <w:rsid w:val="6646288C"/>
    <w:rsid w:val="66703465"/>
    <w:rsid w:val="667547CC"/>
    <w:rsid w:val="668B64F1"/>
    <w:rsid w:val="66A7157D"/>
    <w:rsid w:val="66B9305E"/>
    <w:rsid w:val="66D24120"/>
    <w:rsid w:val="66F422E8"/>
    <w:rsid w:val="671D04B7"/>
    <w:rsid w:val="67B57CC9"/>
    <w:rsid w:val="682409AB"/>
    <w:rsid w:val="68460921"/>
    <w:rsid w:val="684759B4"/>
    <w:rsid w:val="686E1C26"/>
    <w:rsid w:val="688301AB"/>
    <w:rsid w:val="689E69AF"/>
    <w:rsid w:val="68BC459E"/>
    <w:rsid w:val="68E44A7D"/>
    <w:rsid w:val="69272501"/>
    <w:rsid w:val="69586B5E"/>
    <w:rsid w:val="69714AFC"/>
    <w:rsid w:val="69823BDB"/>
    <w:rsid w:val="6985191D"/>
    <w:rsid w:val="69877444"/>
    <w:rsid w:val="69CE4E6D"/>
    <w:rsid w:val="69CE6E20"/>
    <w:rsid w:val="6A014A01"/>
    <w:rsid w:val="6A4F66FC"/>
    <w:rsid w:val="6A6432E1"/>
    <w:rsid w:val="6A723C50"/>
    <w:rsid w:val="6A845731"/>
    <w:rsid w:val="6AA302AD"/>
    <w:rsid w:val="6AC02C0D"/>
    <w:rsid w:val="6AD40467"/>
    <w:rsid w:val="6AE54422"/>
    <w:rsid w:val="6AF04BB9"/>
    <w:rsid w:val="6AF503DD"/>
    <w:rsid w:val="6AF6662F"/>
    <w:rsid w:val="6B056872"/>
    <w:rsid w:val="6B2E2D35"/>
    <w:rsid w:val="6B6537B4"/>
    <w:rsid w:val="6B92605F"/>
    <w:rsid w:val="6B9F03FA"/>
    <w:rsid w:val="6BA3608B"/>
    <w:rsid w:val="6BB12556"/>
    <w:rsid w:val="6BB34520"/>
    <w:rsid w:val="6BEC7A20"/>
    <w:rsid w:val="6C523D39"/>
    <w:rsid w:val="6C587329"/>
    <w:rsid w:val="6C88054B"/>
    <w:rsid w:val="6C891725"/>
    <w:rsid w:val="6CC4275D"/>
    <w:rsid w:val="6D082649"/>
    <w:rsid w:val="6D0A2431"/>
    <w:rsid w:val="6D2F5E28"/>
    <w:rsid w:val="6D4512CA"/>
    <w:rsid w:val="6D4A0EB4"/>
    <w:rsid w:val="6D5C4743"/>
    <w:rsid w:val="6D6655C2"/>
    <w:rsid w:val="6D806684"/>
    <w:rsid w:val="6D9126D1"/>
    <w:rsid w:val="6DF373DB"/>
    <w:rsid w:val="6E0A23F1"/>
    <w:rsid w:val="6E135170"/>
    <w:rsid w:val="6E250FD9"/>
    <w:rsid w:val="6E533D98"/>
    <w:rsid w:val="6E9248C1"/>
    <w:rsid w:val="6EB74327"/>
    <w:rsid w:val="6EB81E4D"/>
    <w:rsid w:val="6ECB1B80"/>
    <w:rsid w:val="6ED22F0F"/>
    <w:rsid w:val="6EEB70CF"/>
    <w:rsid w:val="6EED1AF7"/>
    <w:rsid w:val="6EFF5CCE"/>
    <w:rsid w:val="6F2F210F"/>
    <w:rsid w:val="6FAC0E97"/>
    <w:rsid w:val="6FBB39A3"/>
    <w:rsid w:val="6FDF7997"/>
    <w:rsid w:val="70052E70"/>
    <w:rsid w:val="702A0B29"/>
    <w:rsid w:val="702A28D7"/>
    <w:rsid w:val="70643DB9"/>
    <w:rsid w:val="70741DA4"/>
    <w:rsid w:val="707E21F5"/>
    <w:rsid w:val="70822713"/>
    <w:rsid w:val="70A94143"/>
    <w:rsid w:val="70C96594"/>
    <w:rsid w:val="70D016D0"/>
    <w:rsid w:val="70D26610"/>
    <w:rsid w:val="70F42B31"/>
    <w:rsid w:val="71123A97"/>
    <w:rsid w:val="711F4406"/>
    <w:rsid w:val="713779A1"/>
    <w:rsid w:val="71687B5B"/>
    <w:rsid w:val="71A30B93"/>
    <w:rsid w:val="71A46EE4"/>
    <w:rsid w:val="71A60683"/>
    <w:rsid w:val="720B16BC"/>
    <w:rsid w:val="720D24B0"/>
    <w:rsid w:val="723920F5"/>
    <w:rsid w:val="727A5D97"/>
    <w:rsid w:val="727E6F0A"/>
    <w:rsid w:val="72866D81"/>
    <w:rsid w:val="72AB765B"/>
    <w:rsid w:val="72AF5315"/>
    <w:rsid w:val="72DD6326"/>
    <w:rsid w:val="72F071F9"/>
    <w:rsid w:val="732D2E0A"/>
    <w:rsid w:val="735A7977"/>
    <w:rsid w:val="73CD1EF7"/>
    <w:rsid w:val="73D2750D"/>
    <w:rsid w:val="74016CFC"/>
    <w:rsid w:val="743261FE"/>
    <w:rsid w:val="7443040B"/>
    <w:rsid w:val="74674908"/>
    <w:rsid w:val="749F1AE5"/>
    <w:rsid w:val="74AD26CC"/>
    <w:rsid w:val="74C27582"/>
    <w:rsid w:val="752C1A9F"/>
    <w:rsid w:val="753F5076"/>
    <w:rsid w:val="755C1784"/>
    <w:rsid w:val="756248C1"/>
    <w:rsid w:val="7596337E"/>
    <w:rsid w:val="75B3511C"/>
    <w:rsid w:val="75E43528"/>
    <w:rsid w:val="75FC2F67"/>
    <w:rsid w:val="76206C56"/>
    <w:rsid w:val="768C6099"/>
    <w:rsid w:val="76A71125"/>
    <w:rsid w:val="76E371C7"/>
    <w:rsid w:val="76FB6D7B"/>
    <w:rsid w:val="770E2F52"/>
    <w:rsid w:val="77185B7F"/>
    <w:rsid w:val="77246A77"/>
    <w:rsid w:val="7733135F"/>
    <w:rsid w:val="77471FC0"/>
    <w:rsid w:val="77514BED"/>
    <w:rsid w:val="775C1F10"/>
    <w:rsid w:val="775D7A36"/>
    <w:rsid w:val="77A1631C"/>
    <w:rsid w:val="77A318EC"/>
    <w:rsid w:val="77C81353"/>
    <w:rsid w:val="77C90C27"/>
    <w:rsid w:val="77DC095A"/>
    <w:rsid w:val="77DF669D"/>
    <w:rsid w:val="77EC7614"/>
    <w:rsid w:val="77F02658"/>
    <w:rsid w:val="77F11957"/>
    <w:rsid w:val="782B3690"/>
    <w:rsid w:val="78370287"/>
    <w:rsid w:val="78436C2C"/>
    <w:rsid w:val="784C1F84"/>
    <w:rsid w:val="785C7CED"/>
    <w:rsid w:val="78727511"/>
    <w:rsid w:val="788F00C3"/>
    <w:rsid w:val="78CC6C21"/>
    <w:rsid w:val="78D43D28"/>
    <w:rsid w:val="78D67AA0"/>
    <w:rsid w:val="78D855C6"/>
    <w:rsid w:val="78EA52F9"/>
    <w:rsid w:val="792A3948"/>
    <w:rsid w:val="7962698E"/>
    <w:rsid w:val="797F1EE5"/>
    <w:rsid w:val="79BC4EE7"/>
    <w:rsid w:val="79E93C90"/>
    <w:rsid w:val="7A1C5986"/>
    <w:rsid w:val="7A4B0019"/>
    <w:rsid w:val="7A5A025C"/>
    <w:rsid w:val="7A5B64AE"/>
    <w:rsid w:val="7A8E43D0"/>
    <w:rsid w:val="7AC83418"/>
    <w:rsid w:val="7B0F21BC"/>
    <w:rsid w:val="7B590514"/>
    <w:rsid w:val="7B640A94"/>
    <w:rsid w:val="7B737828"/>
    <w:rsid w:val="7BA9149B"/>
    <w:rsid w:val="7BE6624C"/>
    <w:rsid w:val="7C06244A"/>
    <w:rsid w:val="7C116DEA"/>
    <w:rsid w:val="7C1F52BA"/>
    <w:rsid w:val="7C3C7C24"/>
    <w:rsid w:val="7C725D31"/>
    <w:rsid w:val="7CCA70B9"/>
    <w:rsid w:val="7D0A7D18"/>
    <w:rsid w:val="7D3B4375"/>
    <w:rsid w:val="7D792545"/>
    <w:rsid w:val="7D944A96"/>
    <w:rsid w:val="7DAB199B"/>
    <w:rsid w:val="7DE1316F"/>
    <w:rsid w:val="7DEE13E8"/>
    <w:rsid w:val="7DF14474"/>
    <w:rsid w:val="7E8A59B9"/>
    <w:rsid w:val="7ED4682F"/>
    <w:rsid w:val="7F477001"/>
    <w:rsid w:val="7F58120E"/>
    <w:rsid w:val="7F5D6825"/>
    <w:rsid w:val="7F8738A2"/>
    <w:rsid w:val="7FB4040F"/>
    <w:rsid w:val="7FF45D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560" w:lineRule="exact"/>
      <w:ind w:firstLine="200" w:firstLineChars="200"/>
      <w:jc w:val="both"/>
      <w:textAlignment w:val="baseline"/>
    </w:pPr>
    <w:rPr>
      <w:rFonts w:ascii="Arial" w:hAnsi="Arial" w:eastAsia="Arial" w:cs="Arial"/>
      <w:snapToGrid w:val="0"/>
      <w:color w:val="000000"/>
      <w:sz w:val="28"/>
      <w:szCs w:val="21"/>
      <w:lang w:val="en-US" w:eastAsia="zh-CN" w:bidi="ar-SA"/>
    </w:rPr>
  </w:style>
  <w:style w:type="paragraph" w:styleId="2">
    <w:name w:val="heading 3"/>
    <w:basedOn w:val="1"/>
    <w:next w:val="1"/>
    <w:link w:val="26"/>
    <w:autoRedefine/>
    <w:unhideWhenUsed/>
    <w:qFormat/>
    <w:uiPriority w:val="0"/>
    <w:pPr>
      <w:keepNext/>
      <w:keepLines/>
      <w:widowControl w:val="0"/>
      <w:kinsoku/>
      <w:autoSpaceDE/>
      <w:autoSpaceDN/>
      <w:adjustRightInd/>
      <w:snapToGrid/>
      <w:spacing w:beforeLines="50" w:afterLines="50" w:line="500" w:lineRule="exact"/>
      <w:ind w:firstLine="561"/>
      <w:textAlignment w:val="auto"/>
      <w:outlineLvl w:val="2"/>
    </w:pPr>
    <w:rPr>
      <w:rFonts w:ascii="Times New Roman" w:hAnsi="Times New Roman" w:eastAsia="宋体" w:cs="Times New Roman"/>
      <w:b/>
      <w:bCs/>
      <w:snapToGrid/>
      <w:color w:val="auto"/>
      <w:kern w:val="2"/>
      <w:szCs w:val="32"/>
    </w:rPr>
  </w:style>
  <w:style w:type="paragraph" w:styleId="3">
    <w:name w:val="heading 4"/>
    <w:basedOn w:val="1"/>
    <w:next w:val="1"/>
    <w:autoRedefine/>
    <w:qFormat/>
    <w:uiPriority w:val="0"/>
    <w:pPr>
      <w:keepNext/>
      <w:keepLines/>
      <w:spacing w:beforeLines="50" w:afterLines="50"/>
      <w:outlineLvl w:val="3"/>
    </w:pPr>
    <w:rPr>
      <w:rFonts w:ascii="Arial" w:hAnsi="Arial"/>
      <w:b/>
      <w:bCs/>
      <w:szCs w:val="28"/>
    </w:rPr>
  </w:style>
  <w:style w:type="character" w:default="1" w:styleId="18">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4">
    <w:name w:val="Document Map"/>
    <w:basedOn w:val="1"/>
    <w:link w:val="27"/>
    <w:autoRedefine/>
    <w:qFormat/>
    <w:uiPriority w:val="0"/>
    <w:rPr>
      <w:rFonts w:ascii="宋体" w:eastAsia="宋体"/>
      <w:sz w:val="18"/>
      <w:szCs w:val="18"/>
    </w:rPr>
  </w:style>
  <w:style w:type="paragraph" w:styleId="5">
    <w:name w:val="annotation text"/>
    <w:basedOn w:val="1"/>
    <w:autoRedefine/>
    <w:qFormat/>
    <w:uiPriority w:val="0"/>
    <w:pPr>
      <w:jc w:val="left"/>
    </w:pPr>
  </w:style>
  <w:style w:type="paragraph" w:styleId="6">
    <w:name w:val="Body Text"/>
    <w:basedOn w:val="1"/>
    <w:link w:val="25"/>
    <w:autoRedefine/>
    <w:qFormat/>
    <w:uiPriority w:val="0"/>
    <w:pPr>
      <w:spacing w:after="120"/>
    </w:pPr>
  </w:style>
  <w:style w:type="paragraph" w:styleId="7">
    <w:name w:val="Body Text Indent"/>
    <w:basedOn w:val="1"/>
    <w:next w:val="3"/>
    <w:link w:val="31"/>
    <w:autoRedefine/>
    <w:qFormat/>
    <w:uiPriority w:val="99"/>
    <w:pPr>
      <w:spacing w:line="500" w:lineRule="exact"/>
      <w:ind w:firstLine="420"/>
    </w:pPr>
    <w:rPr>
      <w:sz w:val="32"/>
      <w:szCs w:val="20"/>
    </w:rPr>
  </w:style>
  <w:style w:type="paragraph" w:styleId="8">
    <w:name w:val="Plain Text"/>
    <w:basedOn w:val="1"/>
    <w:next w:val="9"/>
    <w:autoRedefine/>
    <w:qFormat/>
    <w:uiPriority w:val="99"/>
    <w:rPr>
      <w:rFonts w:ascii="宋体" w:hAnsi="Courier New"/>
      <w:sz w:val="21"/>
    </w:rPr>
  </w:style>
  <w:style w:type="paragraph" w:styleId="9">
    <w:name w:val="List Number 5"/>
    <w:basedOn w:val="1"/>
    <w:next w:val="10"/>
    <w:autoRedefine/>
    <w:qFormat/>
    <w:uiPriority w:val="0"/>
    <w:pPr>
      <w:numPr>
        <w:ilvl w:val="0"/>
        <w:numId w:val="1"/>
      </w:numPr>
    </w:pPr>
  </w:style>
  <w:style w:type="paragraph" w:styleId="10">
    <w:name w:val="Body Text First Indent"/>
    <w:basedOn w:val="1"/>
    <w:autoRedefine/>
    <w:qFormat/>
    <w:uiPriority w:val="0"/>
    <w:pPr>
      <w:spacing w:line="440" w:lineRule="exact"/>
      <w:ind w:firstLine="504"/>
    </w:pPr>
    <w:rPr>
      <w:sz w:val="21"/>
    </w:rPr>
  </w:style>
  <w:style w:type="paragraph" w:styleId="11">
    <w:name w:val="Balloon Text"/>
    <w:basedOn w:val="1"/>
    <w:link w:val="24"/>
    <w:autoRedefine/>
    <w:qFormat/>
    <w:uiPriority w:val="0"/>
    <w:rPr>
      <w:sz w:val="18"/>
      <w:szCs w:val="18"/>
    </w:rPr>
  </w:style>
  <w:style w:type="paragraph" w:styleId="12">
    <w:name w:val="footer"/>
    <w:basedOn w:val="1"/>
    <w:link w:val="22"/>
    <w:autoRedefine/>
    <w:qFormat/>
    <w:uiPriority w:val="99"/>
    <w:pPr>
      <w:tabs>
        <w:tab w:val="center" w:pos="4153"/>
        <w:tab w:val="right" w:pos="8306"/>
      </w:tabs>
    </w:pPr>
    <w:rPr>
      <w:sz w:val="18"/>
      <w:szCs w:val="18"/>
    </w:rPr>
  </w:style>
  <w:style w:type="paragraph" w:styleId="13">
    <w:name w:val="header"/>
    <w:basedOn w:val="1"/>
    <w:link w:val="21"/>
    <w:autoRedefine/>
    <w:qFormat/>
    <w:uiPriority w:val="0"/>
    <w:pPr>
      <w:pBdr>
        <w:bottom w:val="single" w:color="auto" w:sz="6" w:space="1"/>
      </w:pBdr>
      <w:tabs>
        <w:tab w:val="center" w:pos="4153"/>
        <w:tab w:val="right" w:pos="8306"/>
      </w:tabs>
      <w:jc w:val="center"/>
    </w:pPr>
    <w:rPr>
      <w:sz w:val="18"/>
      <w:szCs w:val="18"/>
    </w:rPr>
  </w:style>
  <w:style w:type="paragraph" w:styleId="14">
    <w:name w:val="List Continue 4"/>
    <w:basedOn w:val="1"/>
    <w:next w:val="1"/>
    <w:autoRedefine/>
    <w:qFormat/>
    <w:uiPriority w:val="0"/>
    <w:pPr>
      <w:widowControl w:val="0"/>
      <w:autoSpaceDE/>
      <w:autoSpaceDN/>
      <w:spacing w:before="0" w:after="120" w:line="360" w:lineRule="auto"/>
      <w:ind w:left="1680" w:firstLine="480"/>
      <w:jc w:val="both"/>
    </w:pPr>
    <w:rPr>
      <w:rFonts w:ascii="宋体" w:eastAsia="宋体"/>
      <w:sz w:val="24"/>
    </w:rPr>
  </w:style>
  <w:style w:type="paragraph" w:styleId="15">
    <w:name w:val="List"/>
    <w:autoRedefine/>
    <w:qFormat/>
    <w:uiPriority w:val="0"/>
    <w:pPr>
      <w:widowControl w:val="0"/>
      <w:kinsoku w:val="0"/>
      <w:autoSpaceDE w:val="0"/>
      <w:autoSpaceDN w:val="0"/>
      <w:adjustRightInd w:val="0"/>
      <w:snapToGrid w:val="0"/>
      <w:spacing w:line="560" w:lineRule="exact"/>
      <w:ind w:left="200" w:hanging="200" w:hangingChars="200"/>
      <w:contextualSpacing/>
      <w:jc w:val="both"/>
      <w:textAlignment w:val="baseline"/>
    </w:pPr>
    <w:rPr>
      <w:rFonts w:ascii="Times New Roman" w:hAnsi="Times New Roman" w:eastAsia="宋体" w:cs="Times New Roman"/>
      <w:snapToGrid w:val="0"/>
      <w:color w:val="000000"/>
      <w:kern w:val="2"/>
      <w:sz w:val="21"/>
      <w:szCs w:val="24"/>
      <w:lang w:val="en-US" w:eastAsia="zh-CN" w:bidi="ar-SA"/>
    </w:rPr>
  </w:style>
  <w:style w:type="paragraph" w:styleId="16">
    <w:name w:val="Body Text First Indent 2"/>
    <w:basedOn w:val="7"/>
    <w:next w:val="14"/>
    <w:link w:val="30"/>
    <w:autoRedefine/>
    <w:qFormat/>
    <w:uiPriority w:val="99"/>
    <w:pPr>
      <w:spacing w:after="120" w:line="240" w:lineRule="auto"/>
      <w:ind w:left="420" w:leftChars="200"/>
    </w:pPr>
    <w:rPr>
      <w:sz w:val="21"/>
    </w:rPr>
  </w:style>
  <w:style w:type="character" w:styleId="19">
    <w:name w:val="annotation reference"/>
    <w:basedOn w:val="18"/>
    <w:autoRedefine/>
    <w:qFormat/>
    <w:uiPriority w:val="0"/>
    <w:rPr>
      <w:sz w:val="21"/>
      <w:szCs w:val="21"/>
    </w:rPr>
  </w:style>
  <w:style w:type="table" w:customStyle="1" w:styleId="20">
    <w:name w:val="Table Normal"/>
    <w:autoRedefine/>
    <w:qFormat/>
    <w:uiPriority w:val="0"/>
    <w:tblPr>
      <w:tblCellMar>
        <w:top w:w="0" w:type="dxa"/>
        <w:left w:w="0" w:type="dxa"/>
        <w:bottom w:w="0" w:type="dxa"/>
        <w:right w:w="0" w:type="dxa"/>
      </w:tblCellMar>
    </w:tblPr>
  </w:style>
  <w:style w:type="character" w:customStyle="1" w:styleId="21">
    <w:name w:val="页眉 字符"/>
    <w:basedOn w:val="18"/>
    <w:link w:val="13"/>
    <w:autoRedefine/>
    <w:qFormat/>
    <w:uiPriority w:val="0"/>
    <w:rPr>
      <w:rFonts w:eastAsia="Arial"/>
      <w:snapToGrid w:val="0"/>
      <w:color w:val="000000"/>
      <w:sz w:val="18"/>
      <w:szCs w:val="18"/>
    </w:rPr>
  </w:style>
  <w:style w:type="character" w:customStyle="1" w:styleId="22">
    <w:name w:val="页脚 字符"/>
    <w:basedOn w:val="18"/>
    <w:link w:val="12"/>
    <w:autoRedefine/>
    <w:qFormat/>
    <w:uiPriority w:val="99"/>
    <w:rPr>
      <w:rFonts w:eastAsia="Arial"/>
      <w:snapToGrid w:val="0"/>
      <w:color w:val="000000"/>
      <w:sz w:val="18"/>
      <w:szCs w:val="18"/>
    </w:rPr>
  </w:style>
  <w:style w:type="paragraph" w:styleId="23">
    <w:name w:val="List Paragraph"/>
    <w:basedOn w:val="1"/>
    <w:autoRedefine/>
    <w:qFormat/>
    <w:uiPriority w:val="99"/>
    <w:pPr>
      <w:ind w:firstLine="420"/>
    </w:pPr>
  </w:style>
  <w:style w:type="character" w:customStyle="1" w:styleId="24">
    <w:name w:val="批注框文本 字符"/>
    <w:basedOn w:val="18"/>
    <w:link w:val="11"/>
    <w:autoRedefine/>
    <w:qFormat/>
    <w:uiPriority w:val="0"/>
    <w:rPr>
      <w:rFonts w:eastAsia="Arial"/>
      <w:snapToGrid w:val="0"/>
      <w:color w:val="000000"/>
      <w:sz w:val="18"/>
      <w:szCs w:val="18"/>
    </w:rPr>
  </w:style>
  <w:style w:type="character" w:customStyle="1" w:styleId="25">
    <w:name w:val="正文文本 字符"/>
    <w:basedOn w:val="18"/>
    <w:link w:val="6"/>
    <w:autoRedefine/>
    <w:qFormat/>
    <w:uiPriority w:val="0"/>
    <w:rPr>
      <w:rFonts w:eastAsia="Arial"/>
      <w:snapToGrid w:val="0"/>
      <w:color w:val="000000"/>
      <w:sz w:val="21"/>
      <w:szCs w:val="21"/>
    </w:rPr>
  </w:style>
  <w:style w:type="character" w:customStyle="1" w:styleId="26">
    <w:name w:val="标题 3 字符"/>
    <w:basedOn w:val="18"/>
    <w:link w:val="2"/>
    <w:autoRedefine/>
    <w:qFormat/>
    <w:uiPriority w:val="0"/>
    <w:rPr>
      <w:rFonts w:ascii="Times New Roman" w:hAnsi="Times New Roman" w:cs="Times New Roman"/>
      <w:b/>
      <w:bCs/>
      <w:kern w:val="2"/>
      <w:sz w:val="28"/>
      <w:szCs w:val="32"/>
    </w:rPr>
  </w:style>
  <w:style w:type="character" w:customStyle="1" w:styleId="27">
    <w:name w:val="文档结构图 字符"/>
    <w:basedOn w:val="18"/>
    <w:link w:val="4"/>
    <w:autoRedefine/>
    <w:qFormat/>
    <w:uiPriority w:val="0"/>
    <w:rPr>
      <w:rFonts w:ascii="宋体"/>
      <w:snapToGrid w:val="0"/>
      <w:color w:val="000000"/>
      <w:sz w:val="18"/>
      <w:szCs w:val="18"/>
    </w:rPr>
  </w:style>
  <w:style w:type="paragraph" w:customStyle="1" w:styleId="28">
    <w:name w:val="表格"/>
    <w:basedOn w:val="1"/>
    <w:link w:val="29"/>
    <w:autoRedefine/>
    <w:qFormat/>
    <w:uiPriority w:val="0"/>
    <w:pPr>
      <w:spacing w:line="240" w:lineRule="auto"/>
      <w:ind w:firstLine="0" w:firstLineChars="0"/>
      <w:jc w:val="center"/>
    </w:pPr>
    <w:rPr>
      <w:rFonts w:ascii="宋体" w:hAnsi="宋体" w:eastAsia="仿宋" w:cs="宋体"/>
      <w:sz w:val="21"/>
    </w:rPr>
  </w:style>
  <w:style w:type="character" w:customStyle="1" w:styleId="29">
    <w:name w:val="表格 字符"/>
    <w:basedOn w:val="18"/>
    <w:link w:val="28"/>
    <w:autoRedefine/>
    <w:qFormat/>
    <w:uiPriority w:val="0"/>
    <w:rPr>
      <w:rFonts w:ascii="宋体" w:hAnsi="宋体" w:eastAsia="仿宋" w:cs="宋体"/>
      <w:snapToGrid w:val="0"/>
      <w:color w:val="000000"/>
      <w:sz w:val="21"/>
      <w:szCs w:val="21"/>
    </w:rPr>
  </w:style>
  <w:style w:type="character" w:customStyle="1" w:styleId="30">
    <w:name w:val="正文首行缩进 2 字符"/>
    <w:basedOn w:val="31"/>
    <w:link w:val="16"/>
    <w:autoRedefine/>
    <w:qFormat/>
    <w:uiPriority w:val="0"/>
    <w:rPr>
      <w:kern w:val="2"/>
      <w:sz w:val="28"/>
      <w:szCs w:val="24"/>
    </w:rPr>
  </w:style>
  <w:style w:type="character" w:customStyle="1" w:styleId="31">
    <w:name w:val="正文文本缩进 字符"/>
    <w:basedOn w:val="18"/>
    <w:link w:val="7"/>
    <w:autoRedefine/>
    <w:qFormat/>
    <w:uiPriority w:val="0"/>
    <w:rPr>
      <w:kern w:val="2"/>
      <w:sz w:val="28"/>
      <w:szCs w:val="24"/>
    </w:rPr>
  </w:style>
  <w:style w:type="paragraph" w:customStyle="1" w:styleId="32">
    <w:name w:val="别动"/>
    <w:basedOn w:val="33"/>
    <w:autoRedefine/>
    <w:qFormat/>
    <w:uiPriority w:val="0"/>
    <w:pPr>
      <w:spacing w:line="340" w:lineRule="exact"/>
    </w:pPr>
    <w:rPr>
      <w:rFonts w:ascii="Times New Roman" w:hAnsi="Times New Roman" w:eastAsia="宋体"/>
      <w:b w:val="0"/>
      <w:sz w:val="21"/>
    </w:rPr>
  </w:style>
  <w:style w:type="paragraph" w:customStyle="1" w:styleId="33">
    <w:name w:val="表头"/>
    <w:basedOn w:val="1"/>
    <w:next w:val="32"/>
    <w:autoRedefine/>
    <w:qFormat/>
    <w:uiPriority w:val="0"/>
    <w:pPr>
      <w:spacing w:line="240" w:lineRule="auto"/>
      <w:ind w:firstLine="0" w:firstLineChars="0"/>
      <w:jc w:val="center"/>
    </w:pPr>
    <w:rPr>
      <w:rFonts w:hint="eastAsia" w:cs="Times New Roman"/>
      <w:b/>
      <w:szCs w:val="20"/>
    </w:rPr>
  </w:style>
  <w:style w:type="paragraph" w:customStyle="1" w:styleId="34">
    <w:name w:val="Default"/>
    <w:next w:val="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5">
    <w:name w:val=" Char"/>
    <w:basedOn w:val="1"/>
    <w:autoRedefine/>
    <w:qFormat/>
    <w:uiPriority w:val="0"/>
    <w:pPr>
      <w:spacing w:line="240" w:lineRule="auto"/>
      <w:ind w:firstLine="0" w:firstLineChars="0"/>
      <w:jc w:val="both"/>
    </w:pPr>
    <w:rPr>
      <w:rFonts w:cs="Times New Roman"/>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B2A42A-0D7F-48CA-BAC7-42AC021E2F22}">
  <ds:schemaRefs/>
</ds:datastoreItem>
</file>

<file path=docProps/app.xml><?xml version="1.0" encoding="utf-8"?>
<Properties xmlns="http://schemas.openxmlformats.org/officeDocument/2006/extended-properties" xmlns:vt="http://schemas.openxmlformats.org/officeDocument/2006/docPropsVTypes">
  <Template>Normal</Template>
  <Pages>15</Pages>
  <Words>6225</Words>
  <Characters>6675</Characters>
  <Lines>62</Lines>
  <Paragraphs>17</Paragraphs>
  <TotalTime>0</TotalTime>
  <ScaleCrop>false</ScaleCrop>
  <LinksUpToDate>false</LinksUpToDate>
  <CharactersWithSpaces>6704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2021-12-29T17:45:00Z</dcterms:created>
  <dc:creator>游明华(办公室)</dc:creator>
  <cp:lastModifiedBy>自由</cp:lastModifiedBy>
  <cp:lastPrinted>2022-02-10T10:24:00Z</cp:lastPrinted>
  <dcterms:modified xsi:type="dcterms:W3CDTF">2025-08-19T02:36:19Z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2021-12-30T19:57:07Z</vt:filetime>
  </property>
  <property fmtid="{D5CDD505-2E9C-101B-9397-08002B2CF9AE}" pid="4" name="KSOProductBuildVer">
    <vt:lpwstr>2052-12.1.0.21541</vt:lpwstr>
  </property>
  <property fmtid="{D5CDD505-2E9C-101B-9397-08002B2CF9AE}" pid="5" name="ICV">
    <vt:lpwstr>C0012229FC92400F85D173A6D241C90F_13</vt:lpwstr>
  </property>
  <property fmtid="{D5CDD505-2E9C-101B-9397-08002B2CF9AE}" pid="6" name="KSOTemplateDocerSaveRecord">
    <vt:lpwstr>eyJoZGlkIjoiZDcwYWI5ZDc0NWJkMGM5ZTEwODhlZGJkOTcxYmY3N2QiLCJ1c2VySWQiOiIyNzM1NDA3NTcifQ==</vt:lpwstr>
  </property>
</Properties>
</file>