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2B26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附件1</w:t>
      </w:r>
      <w:r>
        <w:rPr>
          <w:rFonts w:hint="eastAsia"/>
          <w:sz w:val="22"/>
          <w:szCs w:val="28"/>
        </w:rPr>
        <w:t>：</w:t>
      </w:r>
    </w:p>
    <w:p w14:paraId="6DF20C23">
      <w:pPr>
        <w:ind w:firstLine="1084" w:firstLineChars="300"/>
        <w:jc w:val="center"/>
        <w:rPr>
          <w:rFonts w:hint="eastAsia"/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吐鲁番市高昌区税务局涉企行政检查主体公示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321"/>
        <w:gridCol w:w="1729"/>
        <w:gridCol w:w="2025"/>
        <w:gridCol w:w="2025"/>
      </w:tblGrid>
      <w:tr w14:paraId="4DEF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7E5E7C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17A5A0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机构全称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01A6CF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机构性质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95FC3B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主体类型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764FF9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法人代表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8BE4CC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单位地址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24F77F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联系电话</w:t>
            </w:r>
          </w:p>
        </w:tc>
      </w:tr>
      <w:tr w14:paraId="1FB9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BF601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50B18058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4C9311ED"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1BFBF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7C4E931D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国家税务总局吐鲁番市高昌区</w:t>
            </w:r>
          </w:p>
          <w:p w14:paraId="352E53D2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税务局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B475E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0CBAF2C1"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行政机关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10430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1AC3FB07"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法定行政机关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38A8C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1475B432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朱建安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0F7A8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5E403450">
            <w:pPr>
              <w:widowControl/>
              <w:spacing w:before="75" w:line="360" w:lineRule="atLeast"/>
              <w:ind w:left="300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吐鲁番市高昌中路102号</w:t>
            </w:r>
          </w:p>
          <w:p w14:paraId="05F0096E">
            <w:pPr>
              <w:jc w:val="center"/>
              <w:rPr>
                <w:rFonts w:hint="default"/>
                <w:sz w:val="24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47CCC7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02AA257A"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0995-8562732</w:t>
            </w:r>
          </w:p>
        </w:tc>
      </w:tr>
      <w:tr w14:paraId="0636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269AB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197B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国家税务总局吐鲁番市高昌区税务局第二税务分局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2A6F3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行政机关派出机构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83A14B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行政机关派出机构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1C564"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朱建安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69E55">
            <w:pPr>
              <w:widowControl/>
              <w:spacing w:before="75" w:line="360" w:lineRule="atLeast"/>
              <w:ind w:left="300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吐鲁番市高昌中路102号</w:t>
            </w:r>
          </w:p>
          <w:p w14:paraId="40263B94">
            <w:pPr>
              <w:jc w:val="center"/>
              <w:rPr>
                <w:rFonts w:hint="default"/>
                <w:sz w:val="24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038B4"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0995-8657089</w:t>
            </w:r>
          </w:p>
        </w:tc>
      </w:tr>
    </w:tbl>
    <w:p w14:paraId="2AD28619">
      <w:pPr>
        <w:ind w:firstLine="723" w:firstLineChars="200"/>
        <w:rPr>
          <w:rFonts w:hint="default"/>
          <w:b/>
          <w:sz w:val="36"/>
          <w:szCs w:val="44"/>
        </w:rPr>
      </w:pPr>
    </w:p>
    <w:p w14:paraId="5087B289">
      <w:pPr>
        <w:ind w:firstLine="723" w:firstLineChars="200"/>
        <w:rPr>
          <w:rFonts w:hint="default"/>
          <w:b/>
          <w:sz w:val="36"/>
          <w:szCs w:val="44"/>
        </w:rPr>
      </w:pPr>
    </w:p>
    <w:p w14:paraId="537985D3">
      <w:pPr>
        <w:ind w:firstLine="723" w:firstLineChars="200"/>
        <w:rPr>
          <w:rFonts w:hint="default"/>
          <w:b/>
          <w:sz w:val="36"/>
          <w:szCs w:val="44"/>
        </w:rPr>
      </w:pPr>
    </w:p>
    <w:p w14:paraId="30B812BB">
      <w:pPr>
        <w:ind w:firstLine="723" w:firstLineChars="200"/>
        <w:rPr>
          <w:rFonts w:hint="default"/>
          <w:b/>
          <w:sz w:val="36"/>
          <w:szCs w:val="44"/>
        </w:rPr>
      </w:pPr>
    </w:p>
    <w:p w14:paraId="11B4DD0B">
      <w:pPr>
        <w:ind w:firstLine="723" w:firstLineChars="200"/>
        <w:rPr>
          <w:rFonts w:hint="default"/>
          <w:b/>
          <w:sz w:val="36"/>
          <w:szCs w:val="44"/>
        </w:rPr>
      </w:pPr>
    </w:p>
    <w:p w14:paraId="5FC859FD">
      <w:pPr>
        <w:ind w:firstLine="723" w:firstLineChars="200"/>
        <w:rPr>
          <w:rFonts w:hint="default"/>
          <w:b/>
          <w:sz w:val="36"/>
          <w:szCs w:val="44"/>
        </w:rPr>
      </w:pPr>
    </w:p>
    <w:p w14:paraId="2E66514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附件2：</w:t>
      </w:r>
    </w:p>
    <w:p w14:paraId="44D66587">
      <w:pPr>
        <w:rPr>
          <w:rFonts w:hint="eastAsia"/>
          <w:b/>
          <w:sz w:val="36"/>
          <w:szCs w:val="44"/>
        </w:rPr>
      </w:pPr>
      <w:r>
        <w:rPr>
          <w:rFonts w:hint="eastAsia"/>
          <w:sz w:val="24"/>
          <w:szCs w:val="32"/>
        </w:rPr>
        <w:t xml:space="preserve">                         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b/>
          <w:sz w:val="44"/>
          <w:szCs w:val="52"/>
        </w:rPr>
        <w:t>吐鲁番市高昌区</w:t>
      </w:r>
      <w:r>
        <w:rPr>
          <w:rFonts w:hint="eastAsia"/>
          <w:b/>
          <w:sz w:val="44"/>
          <w:szCs w:val="52"/>
          <w:lang w:eastAsia="zh-CN"/>
        </w:rPr>
        <w:t>税务局</w:t>
      </w:r>
      <w:r>
        <w:rPr>
          <w:rFonts w:hint="eastAsia"/>
          <w:b/>
          <w:sz w:val="44"/>
          <w:szCs w:val="52"/>
        </w:rPr>
        <w:t>涉企行政检查事项和依据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594E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9339F1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020C1D4A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592628D2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A9B81A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41233A44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42A3A64D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行政检查事项名称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6EC783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0CEABF87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4F7452A4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检查对象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9F69C3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6EDCB0A2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实施依据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ADE36D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2E2B2705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532E5276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备注</w:t>
            </w:r>
          </w:p>
        </w:tc>
      </w:tr>
      <w:tr w14:paraId="35E5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A206F2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E6DB53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EB56AA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C4C9CC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法律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0DDA0C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法规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FBFE71">
            <w:pPr>
              <w:jc w:val="center"/>
              <w:rPr>
                <w:rFonts w:hint="default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规章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10EE28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21AD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6EF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EFA4D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检查和调取账簿、发票、记账凭证、报表和有关资料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F883A">
            <w:pPr>
              <w:jc w:val="center"/>
              <w:rPr>
                <w:rFonts w:hint="eastAsia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50163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《中华人民共和国税收征收管理法》第五十四条第一项。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EDCC55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1.《中华人民共和国税收征收管理法实施细则》第八十六条。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2.《中华人民共和国发票管理办法》第二十九条第一、二、三项。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2C46B4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C1A18C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7047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F02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FCB51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检查纳税人生产、经营场所和货物存放地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50EF3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304BE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《中华人民共和国税收征收管理法》第五十四条第二项。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4FE1E4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4E1C74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92B40C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36EB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DE4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5B28D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责成纳税人、扣缴义务人提供文件、证明材料和有关资料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CDDE0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D894BA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《中华人民共和国税收征收管理法》第五十四条第三项。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0C4C39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6E0398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A837BA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2F23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887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92496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询问纳税人、扣缴义务人有关问题和情况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52AC4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889F3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《中华人民共和国税收征收管理法》第五十四条第四项。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30C8E5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《中华人民共和国发票管理办法》第二十九条第四项。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584991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A0E587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6CB7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FC1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7DCFB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到车站、码头、机场、邮政企业及其分支机构检查有关单据、凭证和有关资料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250E8F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CE169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《中华人民共和国税收征收管理法》第五十四条第五项。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40A4A3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E3A6A6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1C5A23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63A9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167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79050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查询从事生产经营纳税人、扣缴义务人存款账户或查询案件涉嫌人员的储蓄存款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E0D57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5C269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《中华人民共和国税收征收管理法》第五十四条第六项。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EFDC2B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A86533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AFC287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4092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DAE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F7138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向有关单位和个人调查与纳税或代扣代缴、代收代缴税款有关情况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1325D6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FFBAF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《中华人民共和国税收征收管理法》第五十七条。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415389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4FF6B0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134254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5A23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7BAD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04441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记录、录音、录像、照相和复制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DE37D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DC4FD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《中华人民共和国税收征收管理法》第五十八条。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94808C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《中华人民共和国发票管理办法》第二十九条第五项。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3599B6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72BEA1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3434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22F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43B88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社会保险费相关检查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EC47C2">
            <w:pPr>
              <w:jc w:val="center"/>
              <w:rPr>
                <w:rFonts w:hint="eastAsia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缴费人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1062C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2A7ED6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《社会保险费征缴暂行条例》第十八条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C6E28D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F9F06D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  <w:tr w14:paraId="2351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792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C2DA4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纳税调整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9A6B68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7B71F">
            <w:pPr>
              <w:widowControl/>
              <w:textAlignment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1.《中华人民共和国税收征收管理法》第三十六条。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2.《中华人民共和国企业所得税法》第四十一条、第四十四条、第四十五条、第四十六条、第四十七条。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3.《中华人民共和国个人所得税法》第八条。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72C4F1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《中华人民共和国企业所得税法实施条例》第一百二十三条。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B1A458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10089C">
            <w:pPr>
              <w:rPr>
                <w:rFonts w:hint="default"/>
                <w:b/>
                <w:sz w:val="36"/>
                <w:szCs w:val="44"/>
              </w:rPr>
            </w:pPr>
          </w:p>
        </w:tc>
      </w:tr>
    </w:tbl>
    <w:p w14:paraId="125E7AA8">
      <w:pPr>
        <w:rPr>
          <w:rFonts w:hint="default"/>
          <w:b/>
          <w:sz w:val="36"/>
          <w:szCs w:val="44"/>
        </w:rPr>
      </w:pPr>
    </w:p>
    <w:p w14:paraId="1251D497">
      <w:pPr>
        <w:rPr>
          <w:rFonts w:hint="default"/>
          <w:b/>
          <w:sz w:val="36"/>
          <w:szCs w:val="44"/>
        </w:rPr>
      </w:pPr>
    </w:p>
    <w:p w14:paraId="0A401FA9">
      <w:pPr>
        <w:rPr>
          <w:rFonts w:hint="default"/>
          <w:b/>
          <w:sz w:val="36"/>
          <w:szCs w:val="44"/>
        </w:rPr>
      </w:pPr>
    </w:p>
    <w:p w14:paraId="4226DE1A">
      <w:pPr>
        <w:rPr>
          <w:rFonts w:hint="default"/>
          <w:sz w:val="36"/>
          <w:szCs w:val="44"/>
        </w:rPr>
      </w:pPr>
    </w:p>
    <w:p w14:paraId="726BD597">
      <w:pPr>
        <w:rPr>
          <w:rFonts w:hint="default"/>
          <w:b/>
          <w:sz w:val="36"/>
          <w:szCs w:val="44"/>
        </w:rPr>
      </w:pPr>
    </w:p>
    <w:p w14:paraId="5F368696">
      <w:pPr>
        <w:rPr>
          <w:rFonts w:hint="default"/>
          <w:b/>
          <w:sz w:val="36"/>
          <w:szCs w:val="44"/>
        </w:rPr>
      </w:pPr>
    </w:p>
    <w:p w14:paraId="03C3B5FF">
      <w:pPr>
        <w:rPr>
          <w:rFonts w:hint="default"/>
          <w:b/>
          <w:sz w:val="36"/>
          <w:szCs w:val="44"/>
        </w:rPr>
      </w:pPr>
    </w:p>
    <w:p w14:paraId="7B45F5F4">
      <w:pPr>
        <w:rPr>
          <w:rFonts w:hint="eastAsia"/>
          <w:sz w:val="24"/>
          <w:szCs w:val="32"/>
        </w:rPr>
      </w:pPr>
    </w:p>
    <w:p w14:paraId="0FDEAA8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附件3：</w:t>
      </w:r>
    </w:p>
    <w:p w14:paraId="481EE23E">
      <w:pPr>
        <w:ind w:firstLine="2209" w:firstLineChars="5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吐鲁番市高昌区</w:t>
      </w:r>
      <w:r>
        <w:rPr>
          <w:rFonts w:hint="eastAsia"/>
          <w:b/>
          <w:sz w:val="44"/>
          <w:szCs w:val="52"/>
          <w:lang w:eastAsia="zh-CN"/>
        </w:rPr>
        <w:t>税务局</w:t>
      </w:r>
      <w:r>
        <w:rPr>
          <w:rFonts w:hint="eastAsia"/>
          <w:b/>
          <w:sz w:val="44"/>
          <w:szCs w:val="52"/>
        </w:rPr>
        <w:t>涉企行政检查频次和上限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80"/>
        <w:gridCol w:w="1260"/>
        <w:gridCol w:w="1845"/>
        <w:gridCol w:w="1815"/>
        <w:gridCol w:w="870"/>
        <w:gridCol w:w="1305"/>
        <w:gridCol w:w="4394"/>
      </w:tblGrid>
      <w:tr w14:paraId="07F1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7E40FB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00A68948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554C78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4D4E5690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行政检查事项名称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571308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3485721A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检查对象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608DD5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1D33A64D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检查方式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0D1648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17F534C6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是否采用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“双随机、一公开”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4B17FE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66B6C348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联合部门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6C4792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03F08E02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检查评查、上限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7277F2">
            <w:pPr>
              <w:jc w:val="center"/>
              <w:rPr>
                <w:rFonts w:hint="eastAsia"/>
                <w:b/>
                <w:sz w:val="24"/>
                <w:szCs w:val="32"/>
              </w:rPr>
            </w:pPr>
          </w:p>
          <w:p w14:paraId="17F1F470">
            <w:pPr>
              <w:jc w:val="center"/>
              <w:rPr>
                <w:rFonts w:hint="default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备注</w:t>
            </w:r>
          </w:p>
        </w:tc>
      </w:tr>
      <w:tr w14:paraId="7097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7CB5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39A52D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检查和调取账簿、发票、记账凭证、报表和有关资料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549B4B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D6EB7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89E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0B3454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68BE51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CF3E17">
            <w:pPr>
              <w:rPr>
                <w:rFonts w:hint="eastAsia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3A42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18D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E375D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检查纳税人生产、经营场所和货物存放地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4F88D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557205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2B6D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751EE3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8DA1F8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21DFA1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0626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56C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A0B988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责成纳税人、扣缴义务人提供文件、证明材料和有关资料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B31947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3966C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07A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A252C9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36A8B8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FB1A4F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7556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53A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ADE31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询问纳税人、扣缴义务人有关问题和情况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EF1F5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84CFE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CFE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A6F609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D83D22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AB8FA7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4CAC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E857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640C4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到车站、码头、机场、邮政企业及其分支机构检查有关单据、凭证和有关资料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E5150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2E2EF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EDE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A1703D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A44DCD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9DDA85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3A05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594F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567BA1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查询从事生产经营纳税人、扣缴义务人存款账户或查询案件涉嫌人员的储蓄存款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1713A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22511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3E4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BA1CDC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79DA86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C646B2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6C80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235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F7296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向有关单位和个人调查与纳税或代扣代缴、代收代缴税款有关情况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AFA52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15BE6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0F4EC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1FF780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395054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FA8F62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4EA2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B2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CF089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记录、录音、录像、照相和复制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F9642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B3A31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C62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06668A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BBDB55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BB8724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2CD0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195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D8AE3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社会保险费相关检查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BE9303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缴费人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BDAACA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DE54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417F8F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1F4C8F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0A85A6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  <w:tr w14:paraId="6801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4FF8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4EACC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纳税调整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C04B9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65CB8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现场检查（非现场检查）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43B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CF7094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76ECB5">
            <w:pPr>
              <w:rPr>
                <w:rFonts w:hint="default"/>
                <w:b/>
                <w:sz w:val="36"/>
                <w:szCs w:val="4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899AB3">
            <w:pPr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同一税务机关年度内对同一户纳税人税务检查原则上不超过一次，根据投诉举报、转办交办、风险扫描等掌握新的涉税违法线索、再次发现税款流失风险，或者需要执行国际公约、审计调查取证、异地协助调查等情形实施行政检查的除外。</w:t>
            </w:r>
          </w:p>
        </w:tc>
      </w:tr>
    </w:tbl>
    <w:p w14:paraId="2032DE75">
      <w:pPr>
        <w:rPr>
          <w:rFonts w:hint="eastAsia"/>
          <w:sz w:val="24"/>
          <w:szCs w:val="32"/>
        </w:rPr>
      </w:pPr>
    </w:p>
    <w:p w14:paraId="2069C43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附件4：</w:t>
      </w:r>
    </w:p>
    <w:p w14:paraId="240A1CFF">
      <w:pPr>
        <w:ind w:firstLine="3534" w:firstLineChars="8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吐鲁番市高昌区</w:t>
      </w:r>
      <w:r>
        <w:rPr>
          <w:rFonts w:hint="eastAsia"/>
          <w:b/>
          <w:sz w:val="44"/>
          <w:szCs w:val="52"/>
          <w:lang w:eastAsia="zh-CN"/>
        </w:rPr>
        <w:t>税务局</w:t>
      </w:r>
      <w:r>
        <w:rPr>
          <w:rFonts w:hint="eastAsia"/>
          <w:b/>
          <w:sz w:val="44"/>
          <w:szCs w:val="52"/>
        </w:rPr>
        <w:t>涉企行政检查标准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95"/>
        <w:gridCol w:w="1170"/>
        <w:gridCol w:w="1575"/>
        <w:gridCol w:w="8220"/>
        <w:gridCol w:w="824"/>
      </w:tblGrid>
      <w:tr w14:paraId="07C8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CD4F4B">
            <w:pPr>
              <w:jc w:val="center"/>
              <w:rPr>
                <w:rFonts w:hint="eastAsia"/>
                <w:b/>
                <w:sz w:val="32"/>
                <w:szCs w:val="40"/>
              </w:rPr>
            </w:pPr>
          </w:p>
          <w:p w14:paraId="65A8F022">
            <w:pPr>
              <w:jc w:val="center"/>
              <w:rPr>
                <w:rFonts w:hint="default"/>
                <w:b/>
                <w:sz w:val="32"/>
                <w:szCs w:val="40"/>
              </w:rPr>
            </w:pPr>
            <w:r>
              <w:rPr>
                <w:rFonts w:hint="eastAsia"/>
                <w:b/>
                <w:sz w:val="32"/>
                <w:szCs w:val="40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6D7F12">
            <w:pPr>
              <w:jc w:val="center"/>
              <w:rPr>
                <w:rFonts w:hint="eastAsia"/>
                <w:b/>
                <w:sz w:val="32"/>
                <w:szCs w:val="40"/>
              </w:rPr>
            </w:pPr>
          </w:p>
          <w:p w14:paraId="0DC1088E">
            <w:pPr>
              <w:jc w:val="center"/>
              <w:rPr>
                <w:rFonts w:hint="default"/>
                <w:b/>
                <w:sz w:val="32"/>
                <w:szCs w:val="40"/>
              </w:rPr>
            </w:pPr>
            <w:r>
              <w:rPr>
                <w:rFonts w:hint="eastAsia"/>
                <w:b/>
                <w:sz w:val="32"/>
                <w:szCs w:val="40"/>
              </w:rPr>
              <w:t>行政检查事项名称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2C2030">
            <w:pPr>
              <w:jc w:val="center"/>
              <w:rPr>
                <w:rFonts w:hint="eastAsia"/>
                <w:b/>
                <w:sz w:val="32"/>
                <w:szCs w:val="40"/>
              </w:rPr>
            </w:pPr>
          </w:p>
          <w:p w14:paraId="6D78595D">
            <w:pPr>
              <w:jc w:val="center"/>
              <w:rPr>
                <w:rFonts w:hint="default"/>
                <w:b/>
                <w:sz w:val="32"/>
                <w:szCs w:val="40"/>
              </w:rPr>
            </w:pPr>
            <w:r>
              <w:rPr>
                <w:rFonts w:hint="eastAsia"/>
                <w:b/>
                <w:sz w:val="32"/>
                <w:szCs w:val="40"/>
              </w:rPr>
              <w:t>检查对象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43C2E1">
            <w:pPr>
              <w:jc w:val="center"/>
              <w:rPr>
                <w:rFonts w:hint="eastAsia"/>
                <w:b/>
                <w:sz w:val="32"/>
                <w:szCs w:val="40"/>
              </w:rPr>
            </w:pPr>
          </w:p>
          <w:p w14:paraId="44B30BD0">
            <w:pPr>
              <w:jc w:val="center"/>
              <w:rPr>
                <w:rFonts w:hint="default"/>
                <w:b/>
                <w:sz w:val="32"/>
                <w:szCs w:val="40"/>
              </w:rPr>
            </w:pPr>
            <w:r>
              <w:rPr>
                <w:rFonts w:hint="eastAsia"/>
                <w:b/>
                <w:sz w:val="32"/>
                <w:szCs w:val="40"/>
              </w:rPr>
              <w:t>检查内容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5A3AD6">
            <w:pPr>
              <w:jc w:val="center"/>
              <w:rPr>
                <w:rFonts w:hint="eastAsia"/>
                <w:b/>
                <w:sz w:val="32"/>
                <w:szCs w:val="40"/>
              </w:rPr>
            </w:pPr>
          </w:p>
          <w:p w14:paraId="3223475A">
            <w:pPr>
              <w:jc w:val="center"/>
              <w:rPr>
                <w:rFonts w:hint="default"/>
                <w:b/>
                <w:sz w:val="32"/>
                <w:szCs w:val="40"/>
              </w:rPr>
            </w:pPr>
            <w:r>
              <w:rPr>
                <w:rFonts w:hint="eastAsia"/>
                <w:b/>
                <w:sz w:val="32"/>
                <w:szCs w:val="40"/>
              </w:rPr>
              <w:t>检查标准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E4CA62">
            <w:pPr>
              <w:jc w:val="center"/>
              <w:rPr>
                <w:rFonts w:hint="eastAsia"/>
                <w:b/>
                <w:sz w:val="32"/>
                <w:szCs w:val="40"/>
              </w:rPr>
            </w:pPr>
          </w:p>
          <w:p w14:paraId="638CD90E">
            <w:pPr>
              <w:jc w:val="center"/>
              <w:rPr>
                <w:rFonts w:hint="default"/>
                <w:b/>
                <w:sz w:val="32"/>
                <w:szCs w:val="40"/>
              </w:rPr>
            </w:pPr>
            <w:r>
              <w:rPr>
                <w:rFonts w:hint="eastAsia"/>
                <w:b/>
                <w:sz w:val="32"/>
                <w:szCs w:val="40"/>
              </w:rPr>
              <w:t>备注</w:t>
            </w:r>
          </w:p>
        </w:tc>
      </w:tr>
      <w:tr w14:paraId="0C87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C24B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4525E2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检查和调取账簿、发票、记账凭证、报表和有关资料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4B985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CD1E49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检查和调取账簿、发票、记账凭证、报表和有关资料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114BD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税务机关对集贸市场及集中经营业户进行检查时，可以使用统一的税务检查通知书。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税务机关调取账簿、记账凭证、报表和其他有关资料时，应当向被查对象出具调取账簿资料通知书，并填写调取账簿资料清单交其核对后签章确认，调取纳税人、扣缴义务人以前会计年度的账簿、记账凭证、报表和其他有关资料的，应当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县级</w:t>
            </w:r>
            <w:r>
              <w:rPr>
                <w:rFonts w:hint="eastAsia" w:ascii="宋体" w:hAnsi="宋体" w:cs="宋体"/>
                <w:sz w:val="24"/>
                <w:szCs w:val="24"/>
              </w:rPr>
              <w:t>以上税务局局长批准，并在3个月内完整退还;调取纳税人、扣缴义务人当年的账簿、记账凭证、报表和其他有关资料的，应当经设区的市、自治州以上税务局局长批准，并在30日内退还。退还账簿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资料</w:t>
            </w:r>
            <w:r>
              <w:rPr>
                <w:rFonts w:hint="eastAsia" w:ascii="宋体" w:hAnsi="宋体" w:cs="宋体"/>
                <w:sz w:val="24"/>
                <w:szCs w:val="24"/>
              </w:rPr>
              <w:t>时，应当由被查对象核对调取账簿资料清单，并签章确认。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在发票管理中，有权检查印制、领用、开具、取得、保管和缴销发票的情况;查阅、复制与发票有关的凭证、资料；需要将已开具的发票或空白发票调出查验时，应当开具发票换票证或收据，经查无问题的，应当及时返还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4.单位和个人从中国境外取得的与纳税有关的发票或者凭证，税务机关在纳税审查时有疑义的，可以要求其提供境外公证机构或者注册会计师的确认证明，经税务机关审核认可后，方可作为记账核算的凭证。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85DD9B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5049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21098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5932A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检查纳税人生产、经营场所和货物存放地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3F340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F12D7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检查纳税人生产、经营场所和货物存放地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E4966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1.税务机关实施检查应当2人以上，出示税务检查证和税务检查通知书，告知被检查人享有的权利和义务并为其保守秘密;税务机关对集贸市场及集中经营业户进行检查时，可以使用统一的税务检查通知书。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2.检查人员实地调查取证时，可以制作现场笔录、勘验笔录，对实地检查情况予以记录或者说明。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3.税务机关收集、获取证据材料时，不得违反法定程序，不得以违反法律强制性规定的手段获取且侵害他人合法权益，不得以利诱、欺诈、胁迫、暴力等手段获取。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82105F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41E1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CA510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F5012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责成纳税人、扣缴义务人提供文件、证明材料和有关资料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4221A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681A5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责成纳税人、扣缴义务人提供文件、证明材料和有关资料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6B963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1.税务机关实施检查应当2人以上，出示税务检查证和税务检查通知书，告知被检查人享有的权利和义务并为其保守秘密;税务机关对集贸市场及集中经营业户进行检查时，可以使用统一的税务检查通知书。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2.税务机关制发相关税务文书，责成纳税人、扣缴义务人提供文件、证明材料和有关资料，并送达给纳税人或者扣缴义务人。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3.税务机关收集、获取证据材料时，不得违反法定程序，不得以违反法律强制性规定的手段获取且侵害他人合法权益，不得以利诱、欺诈、胁迫、暴力等手段获取。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5BE247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2916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74F2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494D5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询问纳税人、扣缴义务人有关问题和情况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5BC5D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15B1B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询问纳税人、扣缴义务人有关问题和情况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E4C63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;税务机关对集贸市场及集中经营业户进行检查时，可以使用统一的税务检查通知书;除在被查对象生产、经营、办公场所询问外，应当向被询问人送达《询问通知书》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2.询问时应当告知被询问人如实回答问题，并按规定制作询问录。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3.税务机关收集、获取证据材料时，不得违反法定程序，不得以违反法律强制性规定的手段获取侵害他人合法权益，不得以利诱、欺诈、胁迫、暴力等手段获取。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30ABE7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0B89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8914B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EC635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到车站、码头、机场、邮政企业及其分支机构检查有关单据、凭证和有关资料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C3A2C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27294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到车站、码头、机场、邮政企业及其分支机构检查有关单据、凭证和有关资料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5281F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2.检查人员实地调查取证时，可以制作现场笔录、勘验笔录，对实地检查情况予以记录或者说明。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3.税务机关收集、获取证据材料时，不得违反法定程序，不得以违反法律强制性规定的手段获取且侵害他人合法权益，不得以利诱、欺诈、胁迫、暴力等手段获取。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C3987E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5036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52F1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77DD1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查询从事生产经营纳税人、扣缴义务人存款账户或查询案件涉嫌人员的储蓄存款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577D64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91997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查询从事生产经营纳税人、扣缴义务人存款账户或查询案件涉嫌人员的储蓄存款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965A9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2.查询从事生产、经营的纳税人、扣缴义务人存款账户，应当经县以上税务局局长批准，凭检查存款账户许可证明向相关银行或者其他金融机构查询案件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涉嫌</w:t>
            </w:r>
            <w:r>
              <w:rPr>
                <w:rFonts w:hint="eastAsia" w:ascii="宋体" w:hAnsi="宋体" w:cs="宋体"/>
                <w:sz w:val="24"/>
                <w:szCs w:val="24"/>
              </w:rPr>
              <w:t>人员储蓄存款的，应当经设区的市、自治州以上税务局局长批准，凭检查存款账户许可证明向相关银行或者其他金融机构查询。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3.税务机关查询所获得的资料，不得用于税收以外的用途。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4.税务机关收集、获取证据材料时，不得违反法定程序，不得以违反法律强制性规定的手段获取且侵害他人合法权益，不得以利诱、欺诈、胁迫、暴力等手段获取。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D67925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393B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B29C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DD78D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向有关单位和个人调查与纳税或代扣代缴、代收代缴税款有关情况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266A4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70593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向有关单位和个人调查与纳税或代扣代缴、代收代缴税款有关情况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4441D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税务机关对集贸市场及集中经营业户进行检查时，可以使用统一的税务检查通知书。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3.税务机关收集、获取证据材料时，不得违反法定程序，不得以违反法律强制性规定的手段获取且侵害他人合法权益，不得以利诱、欺诈、胁迫、暴力等手段获取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FEF7AC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32C0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E138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E4FC1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记录、录音、录像、照相和复制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3AEE4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0FD49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记录、录音、录像、照相和复制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D630E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2.税务机关调查税务违法案件时，对与案件有关的情况和资料，可以按照规定程序记录、录音、录像、照相和复制，收集能够证明案件事实的证据材料。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3.税务机关收集、获取证据材料时，不得违反法定程序，不得以违反法律强制性规定的手段获取且侵害他人合法权益，不得以利诱、欺诈、胁迫、暴力等手段获取。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11593A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4EE0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F3B2D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2BF13C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社会保险费相关检查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AAE32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缴费人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79B8B7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社会保险费相关检查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6AE5D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1.税务机关依法对单位缴费情况进行检查，有权要求被检查的单位提供与缴纳社会保险费有关的用人情况、工资表、财务报表等资料，如实反映情况。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2.税务机关可以记录、录音、录像、照相和复制有关资料，应当为缴费单位保密。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3.在行使检查职权时，税务机关工作人员应当出示执行公务证件。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295520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  <w:tr w14:paraId="11BD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011C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AC938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纳税调整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ACA9A">
            <w:pPr>
              <w:jc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纳税人、扣缴义务人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2533FA">
            <w:pPr>
              <w:widowControl/>
              <w:jc w:val="center"/>
              <w:textAlignment w:val="center"/>
              <w:rPr>
                <w:rFonts w:hint="default"/>
                <w:b/>
                <w:sz w:val="36"/>
                <w:szCs w:val="4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纳税调整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AA94E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1.税务机关通过关联交易等信息，对纳税人实施监控管理，发现其存在特别纳税调整风险的，税务机关应当开展风险应对。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2.税务机关实施特别纳税调整调查时，应当按照法定权限和程序进行，收集证据材料。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3.税务机关对纳税人作出纳税调整的，应当对补征的税款，按规定加收利息。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8F4C9D">
            <w:pPr>
              <w:rPr>
                <w:rFonts w:hint="default"/>
                <w:b/>
                <w:sz w:val="44"/>
                <w:szCs w:val="52"/>
              </w:rPr>
            </w:pPr>
          </w:p>
        </w:tc>
      </w:tr>
    </w:tbl>
    <w:p w14:paraId="75BB60B0">
      <w:pPr>
        <w:pStyle w:val="2"/>
        <w:numPr>
          <w:ilvl w:val="0"/>
          <w:numId w:val="0"/>
        </w:numPr>
        <w:spacing w:line="560" w:lineRule="exact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BC8B6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66EF"/>
    <w:rsid w:val="5F3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2025-07-16T03:29:00Z</dcterms:created>
  <dc:creator>自由</dc:creator>
  <cp:lastModifiedBy>自由</cp:lastModifiedBy>
  <dcterms:modified xsi:type="dcterms:W3CDTF">2025-07-16T03:30:08Z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C1264890B32F4EE6B79A8A44DEFD3D40_11</vt:lpwstr>
  </property>
  <property fmtid="{D5CDD505-2E9C-101B-9397-08002B2CF9AE}" pid="4" name="KSOTemplateDocerSaveRecord">
    <vt:lpwstr>eyJoZGlkIjoiZDcwYWI5ZDc0NWJkMGM5ZTEwODhlZGJkOTcxYmY3N2QiLCJ1c2VySWQiOiIyNzM1NDA3NTcifQ==</vt:lpwstr>
  </property>
</Properties>
</file>